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9D63">
      <w:pPr>
        <w:spacing w:line="360" w:lineRule="auto"/>
        <w:ind w:right="400"/>
        <w:jc w:val="right"/>
        <w:rPr>
          <w:rFonts w:ascii="仿宋" w:hAnsi="仿宋" w:eastAsia="仿宋" w:cs="宋体"/>
          <w:color w:val="auto"/>
          <w:sz w:val="10"/>
          <w:szCs w:val="10"/>
        </w:rPr>
      </w:pPr>
      <w:r>
        <w:rPr>
          <w:rFonts w:hint="eastAsia" w:ascii="仿宋" w:hAnsi="仿宋" w:eastAsia="仿宋" w:cs="宋体"/>
          <w:color w:val="auto"/>
          <w:sz w:val="10"/>
          <w:szCs w:val="10"/>
        </w:rPr>
        <w:drawing>
          <wp:inline distT="0" distB="0" distL="0" distR="0">
            <wp:extent cx="1066800" cy="1085850"/>
            <wp:effectExtent l="0" t="0" r="0" b="6350"/>
            <wp:docPr id="1026" name="图片 1" descr="公司标志"/>
            <wp:cNvGraphicFramePr/>
            <a:graphic xmlns:a="http://schemas.openxmlformats.org/drawingml/2006/main">
              <a:graphicData uri="http://schemas.openxmlformats.org/drawingml/2006/picture">
                <pic:pic xmlns:pic="http://schemas.openxmlformats.org/drawingml/2006/picture">
                  <pic:nvPicPr>
                    <pic:cNvPr id="1026" name="图片 1" descr="公司标志"/>
                    <pic:cNvPicPr/>
                  </pic:nvPicPr>
                  <pic:blipFill>
                    <a:blip r:embed="rId8" cstate="print"/>
                    <a:srcRect/>
                    <a:stretch>
                      <a:fillRect/>
                    </a:stretch>
                  </pic:blipFill>
                  <pic:spPr>
                    <a:xfrm>
                      <a:off x="0" y="0"/>
                      <a:ext cx="1066800" cy="1085850"/>
                    </a:xfrm>
                    <a:prstGeom prst="rect">
                      <a:avLst/>
                    </a:prstGeom>
                    <a:ln>
                      <a:noFill/>
                    </a:ln>
                  </pic:spPr>
                </pic:pic>
              </a:graphicData>
            </a:graphic>
          </wp:inline>
        </w:drawing>
      </w:r>
    </w:p>
    <w:p w14:paraId="3D724AF9">
      <w:pPr>
        <w:wordWrap w:val="0"/>
        <w:spacing w:line="720" w:lineRule="auto"/>
        <w:jc w:val="right"/>
        <w:rPr>
          <w:rFonts w:ascii="仿宋" w:hAnsi="仿宋" w:eastAsia="仿宋" w:cs="宋体"/>
          <w:bCs/>
          <w:color w:val="auto"/>
          <w:sz w:val="28"/>
          <w:szCs w:val="22"/>
        </w:rPr>
      </w:pPr>
    </w:p>
    <w:p w14:paraId="40710671">
      <w:pPr>
        <w:pStyle w:val="7"/>
        <w:ind w:left="210" w:leftChars="100"/>
        <w:rPr>
          <w:rFonts w:ascii="仿宋" w:hAnsi="仿宋" w:eastAsia="仿宋"/>
          <w:color w:val="auto"/>
        </w:rPr>
      </w:pPr>
    </w:p>
    <w:p w14:paraId="150A9DF9">
      <w:pPr>
        <w:ind w:right="19" w:rightChars="9"/>
        <w:jc w:val="center"/>
        <w:outlineLvl w:val="3"/>
        <w:rPr>
          <w:rFonts w:ascii="仿宋" w:hAnsi="仿宋" w:eastAsia="仿宋" w:cs="宋体"/>
          <w:b/>
          <w:bCs/>
          <w:color w:val="auto"/>
          <w:sz w:val="92"/>
          <w:szCs w:val="92"/>
        </w:rPr>
      </w:pPr>
      <w:r>
        <w:rPr>
          <w:rFonts w:hint="eastAsia" w:ascii="仿宋" w:hAnsi="仿宋" w:eastAsia="仿宋" w:cs="宋体"/>
          <w:b/>
          <w:bCs/>
          <w:color w:val="auto"/>
          <w:sz w:val="92"/>
          <w:szCs w:val="92"/>
        </w:rPr>
        <w:t>竞争性磋商采购文件</w:t>
      </w:r>
    </w:p>
    <w:p w14:paraId="0D991B4D">
      <w:pPr>
        <w:spacing w:line="480" w:lineRule="auto"/>
        <w:jc w:val="center"/>
        <w:rPr>
          <w:rFonts w:ascii="仿宋" w:hAnsi="仿宋" w:eastAsia="仿宋" w:cs="宋体"/>
          <w:color w:val="auto"/>
          <w:sz w:val="30"/>
          <w:szCs w:val="30"/>
          <w:lang w:val="hr-HR" w:bidi="ar-EG"/>
        </w:rPr>
      </w:pPr>
    </w:p>
    <w:p w14:paraId="179FDA16">
      <w:pPr>
        <w:spacing w:line="480" w:lineRule="auto"/>
        <w:jc w:val="center"/>
        <w:rPr>
          <w:rFonts w:ascii="仿宋" w:hAnsi="仿宋" w:eastAsia="仿宋" w:cs="宋体"/>
          <w:color w:val="auto"/>
          <w:sz w:val="30"/>
          <w:szCs w:val="30"/>
          <w:lang w:val="hr-HR" w:bidi="ar-EG"/>
        </w:rPr>
      </w:pPr>
    </w:p>
    <w:tbl>
      <w:tblPr>
        <w:tblStyle w:val="20"/>
        <w:tblW w:w="7661" w:type="dxa"/>
        <w:jc w:val="center"/>
        <w:tblLayout w:type="fixed"/>
        <w:tblCellMar>
          <w:top w:w="0" w:type="dxa"/>
          <w:left w:w="108" w:type="dxa"/>
          <w:bottom w:w="0" w:type="dxa"/>
          <w:right w:w="108" w:type="dxa"/>
        </w:tblCellMar>
      </w:tblPr>
      <w:tblGrid>
        <w:gridCol w:w="1851"/>
        <w:gridCol w:w="5810"/>
      </w:tblGrid>
      <w:tr w14:paraId="05401CF1">
        <w:tblPrEx>
          <w:tblCellMar>
            <w:top w:w="0" w:type="dxa"/>
            <w:left w:w="108" w:type="dxa"/>
            <w:bottom w:w="0" w:type="dxa"/>
            <w:right w:w="108" w:type="dxa"/>
          </w:tblCellMar>
        </w:tblPrEx>
        <w:trPr>
          <w:trHeight w:val="75" w:hRule="atLeast"/>
          <w:jc w:val="center"/>
        </w:trPr>
        <w:tc>
          <w:tcPr>
            <w:tcW w:w="1851" w:type="dxa"/>
            <w:vAlign w:val="center"/>
          </w:tcPr>
          <w:p w14:paraId="184E7C53">
            <w:pPr>
              <w:rPr>
                <w:rFonts w:ascii="仿宋" w:hAnsi="仿宋" w:eastAsia="仿宋" w:cs="宋体"/>
                <w:b/>
                <w:color w:val="auto"/>
                <w:sz w:val="32"/>
                <w:szCs w:val="32"/>
                <w:lang w:val="hr-HR" w:bidi="ar-EG"/>
              </w:rPr>
            </w:pPr>
            <w:r>
              <w:rPr>
                <w:rFonts w:hint="eastAsia" w:ascii="仿宋" w:hAnsi="仿宋" w:eastAsia="仿宋" w:cs="宋体"/>
                <w:b/>
                <w:color w:val="auto"/>
                <w:sz w:val="32"/>
                <w:szCs w:val="32"/>
                <w:lang w:val="hr-HR" w:bidi="ar-EG"/>
              </w:rPr>
              <w:t>项目编号：</w:t>
            </w:r>
          </w:p>
        </w:tc>
        <w:tc>
          <w:tcPr>
            <w:tcW w:w="5810" w:type="dxa"/>
            <w:vAlign w:val="center"/>
          </w:tcPr>
          <w:p w14:paraId="154FEDAC">
            <w:pPr>
              <w:rPr>
                <w:rFonts w:hint="default" w:ascii="仿宋" w:hAnsi="仿宋" w:eastAsia="仿宋" w:cs="宋体"/>
                <w:b/>
                <w:color w:val="auto"/>
                <w:sz w:val="32"/>
                <w:szCs w:val="32"/>
                <w:lang w:val="en-US" w:eastAsia="zh-CN" w:bidi="ar-EG"/>
              </w:rPr>
            </w:pPr>
            <w:r>
              <w:rPr>
                <w:rFonts w:ascii="仿宋" w:hAnsi="仿宋" w:eastAsia="仿宋" w:cs="宋体"/>
                <w:b/>
                <w:color w:val="auto"/>
                <w:sz w:val="32"/>
                <w:szCs w:val="32"/>
                <w:lang w:val="hr-HR" w:bidi="ar-EG"/>
              </w:rPr>
              <w:t>HBCZ-</w:t>
            </w:r>
            <w:r>
              <w:rPr>
                <w:rFonts w:hint="eastAsia" w:ascii="仿宋" w:hAnsi="仿宋" w:eastAsia="仿宋" w:cs="宋体"/>
                <w:b/>
                <w:color w:val="auto"/>
                <w:sz w:val="32"/>
                <w:szCs w:val="32"/>
                <w:lang w:val="hr-HR" w:bidi="ar-EG"/>
              </w:rPr>
              <w:t>25020513</w:t>
            </w:r>
            <w:r>
              <w:rPr>
                <w:rFonts w:hint="eastAsia" w:ascii="仿宋" w:hAnsi="仿宋" w:eastAsia="仿宋" w:cs="宋体"/>
                <w:b/>
                <w:color w:val="auto"/>
                <w:sz w:val="32"/>
                <w:szCs w:val="32"/>
                <w:lang w:val="hr-HR" w:eastAsia="zh-CN" w:bidi="ar-EG"/>
              </w:rPr>
              <w:t>49-</w:t>
            </w:r>
            <w:r>
              <w:rPr>
                <w:rFonts w:hint="eastAsia" w:ascii="仿宋" w:hAnsi="仿宋" w:eastAsia="仿宋" w:cs="宋体"/>
                <w:b/>
                <w:color w:val="auto"/>
                <w:sz w:val="32"/>
                <w:szCs w:val="32"/>
                <w:lang w:val="en-US" w:eastAsia="zh-CN" w:bidi="ar-EG"/>
              </w:rPr>
              <w:t>263407</w:t>
            </w:r>
          </w:p>
        </w:tc>
      </w:tr>
      <w:tr w14:paraId="3705228E">
        <w:tblPrEx>
          <w:tblCellMar>
            <w:top w:w="0" w:type="dxa"/>
            <w:left w:w="108" w:type="dxa"/>
            <w:bottom w:w="0" w:type="dxa"/>
            <w:right w:w="108" w:type="dxa"/>
          </w:tblCellMar>
        </w:tblPrEx>
        <w:trPr>
          <w:trHeight w:val="1432" w:hRule="atLeast"/>
          <w:jc w:val="center"/>
        </w:trPr>
        <w:tc>
          <w:tcPr>
            <w:tcW w:w="1851" w:type="dxa"/>
            <w:vAlign w:val="center"/>
          </w:tcPr>
          <w:p w14:paraId="2463B77B">
            <w:pPr>
              <w:rPr>
                <w:rFonts w:ascii="仿宋" w:hAnsi="仿宋" w:eastAsia="仿宋" w:cs="宋体"/>
                <w:b/>
                <w:color w:val="auto"/>
                <w:sz w:val="32"/>
                <w:szCs w:val="32"/>
                <w:lang w:val="hr-HR" w:bidi="ar-EG"/>
              </w:rPr>
            </w:pPr>
            <w:r>
              <w:rPr>
                <w:rFonts w:hint="eastAsia" w:ascii="仿宋" w:hAnsi="仿宋" w:eastAsia="仿宋" w:cs="宋体"/>
                <w:b/>
                <w:color w:val="auto"/>
                <w:sz w:val="32"/>
                <w:szCs w:val="32"/>
                <w:lang w:val="hr-HR" w:bidi="ar-EG"/>
              </w:rPr>
              <w:t>项目名称：</w:t>
            </w:r>
          </w:p>
        </w:tc>
        <w:tc>
          <w:tcPr>
            <w:tcW w:w="5810" w:type="dxa"/>
            <w:vAlign w:val="center"/>
          </w:tcPr>
          <w:p w14:paraId="38DF1647">
            <w:pPr>
              <w:rPr>
                <w:rFonts w:hint="eastAsia" w:ascii="仿宋" w:hAnsi="仿宋" w:eastAsia="仿宋" w:cs="宋体"/>
                <w:b/>
                <w:color w:val="auto"/>
                <w:sz w:val="32"/>
                <w:szCs w:val="32"/>
                <w:lang w:val="en-US" w:eastAsia="zh-CN" w:bidi="ar-EG"/>
              </w:rPr>
            </w:pPr>
            <w:r>
              <w:rPr>
                <w:rFonts w:hint="eastAsia" w:ascii="仿宋" w:hAnsi="仿宋" w:eastAsia="仿宋" w:cs="宋体"/>
                <w:b/>
                <w:color w:val="auto"/>
                <w:sz w:val="32"/>
                <w:szCs w:val="32"/>
                <w:lang w:val="hr-HR" w:eastAsia="zh-CN" w:bidi="ar-EG"/>
              </w:rPr>
              <w:t>湖北省第三人民医院硚口院区可透射线碳纤维头架采购项目</w:t>
            </w:r>
          </w:p>
        </w:tc>
      </w:tr>
      <w:tr w14:paraId="54A02414">
        <w:tblPrEx>
          <w:tblCellMar>
            <w:top w:w="0" w:type="dxa"/>
            <w:left w:w="108" w:type="dxa"/>
            <w:bottom w:w="0" w:type="dxa"/>
            <w:right w:w="108" w:type="dxa"/>
          </w:tblCellMar>
        </w:tblPrEx>
        <w:trPr>
          <w:trHeight w:val="90" w:hRule="atLeast"/>
          <w:jc w:val="center"/>
        </w:trPr>
        <w:tc>
          <w:tcPr>
            <w:tcW w:w="1851" w:type="dxa"/>
            <w:vAlign w:val="center"/>
          </w:tcPr>
          <w:p w14:paraId="21F1E1A3">
            <w:pPr>
              <w:rPr>
                <w:rFonts w:ascii="仿宋" w:hAnsi="仿宋" w:eastAsia="仿宋" w:cs="宋体"/>
                <w:b/>
                <w:color w:val="auto"/>
                <w:sz w:val="32"/>
                <w:szCs w:val="32"/>
                <w:lang w:val="hr-HR" w:bidi="ar-EG"/>
              </w:rPr>
            </w:pPr>
            <w:r>
              <w:rPr>
                <w:rFonts w:hint="eastAsia" w:ascii="仿宋" w:hAnsi="仿宋" w:eastAsia="仿宋" w:cs="宋体"/>
                <w:b/>
                <w:color w:val="auto"/>
                <w:sz w:val="32"/>
                <w:szCs w:val="32"/>
                <w:lang w:val="hr-HR" w:bidi="ar-EG"/>
              </w:rPr>
              <w:t>采购内容：</w:t>
            </w:r>
          </w:p>
        </w:tc>
        <w:tc>
          <w:tcPr>
            <w:tcW w:w="5810" w:type="dxa"/>
            <w:vAlign w:val="center"/>
          </w:tcPr>
          <w:p w14:paraId="52036D24">
            <w:pPr>
              <w:pStyle w:val="7"/>
              <w:rPr>
                <w:rFonts w:hint="eastAsia" w:ascii="仿宋" w:hAnsi="仿宋" w:eastAsia="仿宋" w:cs="宋体"/>
                <w:b/>
                <w:color w:val="auto"/>
                <w:sz w:val="32"/>
                <w:szCs w:val="32"/>
                <w:lang w:val="hr-HR" w:eastAsia="zh-CN" w:bidi="ar-EG"/>
              </w:rPr>
            </w:pPr>
            <w:r>
              <w:rPr>
                <w:rFonts w:hint="eastAsia" w:ascii="仿宋" w:hAnsi="仿宋" w:eastAsia="仿宋" w:cs="宋体"/>
                <w:b/>
                <w:color w:val="auto"/>
                <w:sz w:val="32"/>
                <w:szCs w:val="32"/>
                <w:lang w:val="hr-HR" w:eastAsia="zh-CN" w:bidi="ar-EG"/>
              </w:rPr>
              <w:t>可透射线碳纤维头架</w:t>
            </w:r>
          </w:p>
        </w:tc>
      </w:tr>
    </w:tbl>
    <w:p w14:paraId="37DE5D1D">
      <w:pPr>
        <w:pStyle w:val="10"/>
        <w:tabs>
          <w:tab w:val="left" w:pos="703"/>
        </w:tabs>
        <w:rPr>
          <w:rFonts w:ascii="仿宋" w:hAnsi="仿宋" w:eastAsia="仿宋" w:cs="宋体"/>
          <w:color w:val="auto"/>
          <w:sz w:val="24"/>
          <w:szCs w:val="24"/>
        </w:rPr>
      </w:pPr>
    </w:p>
    <w:p w14:paraId="515F2CFA">
      <w:pPr>
        <w:pStyle w:val="10"/>
        <w:spacing w:line="360" w:lineRule="auto"/>
        <w:jc w:val="center"/>
        <w:rPr>
          <w:rFonts w:ascii="仿宋" w:hAnsi="仿宋" w:eastAsia="仿宋" w:cs="宋体"/>
          <w:color w:val="auto"/>
          <w:sz w:val="30"/>
          <w:szCs w:val="30"/>
        </w:rPr>
      </w:pPr>
    </w:p>
    <w:tbl>
      <w:tblPr>
        <w:tblStyle w:val="20"/>
        <w:tblW w:w="6548" w:type="dxa"/>
        <w:jc w:val="center"/>
        <w:tblLayout w:type="fixed"/>
        <w:tblCellMar>
          <w:top w:w="0" w:type="dxa"/>
          <w:left w:w="108" w:type="dxa"/>
          <w:bottom w:w="0" w:type="dxa"/>
          <w:right w:w="108" w:type="dxa"/>
        </w:tblCellMar>
      </w:tblPr>
      <w:tblGrid>
        <w:gridCol w:w="6548"/>
      </w:tblGrid>
      <w:tr w14:paraId="4BDEA8E4">
        <w:tblPrEx>
          <w:tblCellMar>
            <w:top w:w="0" w:type="dxa"/>
            <w:left w:w="108" w:type="dxa"/>
            <w:bottom w:w="0" w:type="dxa"/>
            <w:right w:w="108" w:type="dxa"/>
          </w:tblCellMar>
        </w:tblPrEx>
        <w:trPr>
          <w:trHeight w:val="106" w:hRule="atLeast"/>
          <w:jc w:val="center"/>
        </w:trPr>
        <w:tc>
          <w:tcPr>
            <w:tcW w:w="6548" w:type="dxa"/>
            <w:vAlign w:val="center"/>
          </w:tcPr>
          <w:p w14:paraId="035654E7">
            <w:pPr>
              <w:spacing w:line="480" w:lineRule="auto"/>
              <w:jc w:val="distribute"/>
              <w:rPr>
                <w:rFonts w:ascii="仿宋" w:hAnsi="仿宋" w:eastAsia="仿宋" w:cs="宋体"/>
                <w:b/>
                <w:bCs/>
                <w:color w:val="auto"/>
                <w:sz w:val="32"/>
                <w:szCs w:val="32"/>
                <w:lang w:val="hr-HR"/>
              </w:rPr>
            </w:pPr>
            <w:r>
              <w:rPr>
                <w:rFonts w:hint="eastAsia" w:ascii="仿宋" w:hAnsi="仿宋" w:eastAsia="仿宋" w:cs="宋体"/>
                <w:b/>
                <w:bCs/>
                <w:color w:val="auto"/>
                <w:sz w:val="32"/>
                <w:szCs w:val="32"/>
                <w:lang w:val="hr-HR"/>
              </w:rPr>
              <w:t>采购人：湖北省第三人民医院</w:t>
            </w:r>
          </w:p>
        </w:tc>
      </w:tr>
      <w:tr w14:paraId="79580EA3">
        <w:tblPrEx>
          <w:tblCellMar>
            <w:top w:w="0" w:type="dxa"/>
            <w:left w:w="108" w:type="dxa"/>
            <w:bottom w:w="0" w:type="dxa"/>
            <w:right w:w="108" w:type="dxa"/>
          </w:tblCellMar>
        </w:tblPrEx>
        <w:trPr>
          <w:trHeight w:val="106" w:hRule="atLeast"/>
          <w:jc w:val="center"/>
        </w:trPr>
        <w:tc>
          <w:tcPr>
            <w:tcW w:w="6548" w:type="dxa"/>
          </w:tcPr>
          <w:p w14:paraId="1DF9A11E">
            <w:pPr>
              <w:spacing w:line="480" w:lineRule="auto"/>
              <w:jc w:val="distribute"/>
              <w:rPr>
                <w:rFonts w:ascii="仿宋" w:hAnsi="仿宋" w:eastAsia="仿宋" w:cs="宋体"/>
                <w:b/>
                <w:bCs/>
                <w:color w:val="auto"/>
                <w:sz w:val="32"/>
                <w:szCs w:val="32"/>
                <w:lang w:val="zh-CN"/>
              </w:rPr>
            </w:pPr>
            <w:r>
              <w:rPr>
                <w:rFonts w:hint="eastAsia" w:ascii="仿宋" w:hAnsi="仿宋" w:eastAsia="仿宋" w:cs="宋体"/>
                <w:b/>
                <w:bCs/>
                <w:color w:val="auto"/>
                <w:sz w:val="32"/>
                <w:szCs w:val="32"/>
                <w:lang w:val="hr-HR"/>
              </w:rPr>
              <w:t>招标代理机构：</w:t>
            </w:r>
            <w:r>
              <w:rPr>
                <w:rFonts w:hint="eastAsia" w:ascii="仿宋" w:hAnsi="仿宋" w:eastAsia="仿宋" w:cs="宋体"/>
                <w:b/>
                <w:bCs/>
                <w:color w:val="auto"/>
                <w:sz w:val="32"/>
                <w:szCs w:val="32"/>
                <w:lang w:val="zh-CN"/>
              </w:rPr>
              <w:t>湖北省成套招标股份有限公司</w:t>
            </w:r>
          </w:p>
        </w:tc>
      </w:tr>
      <w:tr w14:paraId="47595D8A">
        <w:tblPrEx>
          <w:tblCellMar>
            <w:top w:w="0" w:type="dxa"/>
            <w:left w:w="108" w:type="dxa"/>
            <w:bottom w:w="0" w:type="dxa"/>
            <w:right w:w="108" w:type="dxa"/>
          </w:tblCellMar>
        </w:tblPrEx>
        <w:trPr>
          <w:trHeight w:val="106" w:hRule="atLeast"/>
          <w:jc w:val="center"/>
        </w:trPr>
        <w:tc>
          <w:tcPr>
            <w:tcW w:w="6548" w:type="dxa"/>
          </w:tcPr>
          <w:p w14:paraId="3F1A3524">
            <w:pPr>
              <w:spacing w:line="480" w:lineRule="auto"/>
              <w:jc w:val="distribute"/>
              <w:rPr>
                <w:rFonts w:hint="eastAsia" w:ascii="仿宋" w:hAnsi="仿宋" w:eastAsia="仿宋" w:cs="宋体"/>
                <w:b/>
                <w:bCs/>
                <w:color w:val="auto"/>
                <w:sz w:val="32"/>
                <w:szCs w:val="32"/>
                <w:lang w:val="hr-HR" w:eastAsia="zh-CN"/>
              </w:rPr>
            </w:pPr>
            <w:r>
              <w:rPr>
                <w:rFonts w:hint="eastAsia" w:ascii="仿宋" w:hAnsi="仿宋" w:eastAsia="仿宋" w:cs="宋体"/>
                <w:b/>
                <w:bCs/>
                <w:color w:val="auto"/>
                <w:sz w:val="32"/>
                <w:szCs w:val="32"/>
                <w:lang w:val="hr-HR"/>
              </w:rPr>
              <w:t>编制时间：</w:t>
            </w:r>
            <w:r>
              <w:rPr>
                <w:rFonts w:hint="eastAsia" w:ascii="仿宋" w:hAnsi="仿宋" w:eastAsia="仿宋" w:cs="宋体"/>
                <w:b/>
                <w:bCs/>
                <w:color w:val="auto"/>
                <w:sz w:val="32"/>
                <w:szCs w:val="32"/>
                <w:lang w:val="hr-HR" w:eastAsia="zh-CN"/>
              </w:rPr>
              <w:t>202</w:t>
            </w:r>
            <w:r>
              <w:rPr>
                <w:rFonts w:hint="eastAsia" w:ascii="仿宋" w:hAnsi="仿宋" w:eastAsia="仿宋" w:cs="宋体"/>
                <w:b/>
                <w:bCs/>
                <w:color w:val="auto"/>
                <w:sz w:val="32"/>
                <w:szCs w:val="32"/>
                <w:lang w:val="en-US" w:eastAsia="zh-CN"/>
              </w:rPr>
              <w:t>6</w:t>
            </w:r>
            <w:r>
              <w:rPr>
                <w:rFonts w:hint="eastAsia" w:ascii="仿宋" w:hAnsi="仿宋" w:eastAsia="仿宋" w:cs="宋体"/>
                <w:b/>
                <w:bCs/>
                <w:color w:val="auto"/>
                <w:sz w:val="32"/>
                <w:szCs w:val="32"/>
                <w:lang w:val="hr-HR" w:eastAsia="zh-CN"/>
              </w:rPr>
              <w:t>年0</w:t>
            </w:r>
            <w:r>
              <w:rPr>
                <w:rFonts w:hint="eastAsia" w:ascii="仿宋" w:hAnsi="仿宋" w:eastAsia="仿宋" w:cs="宋体"/>
                <w:b/>
                <w:bCs/>
                <w:color w:val="auto"/>
                <w:sz w:val="32"/>
                <w:szCs w:val="32"/>
                <w:lang w:val="en-US" w:eastAsia="zh-CN"/>
              </w:rPr>
              <w:t>9</w:t>
            </w:r>
            <w:r>
              <w:rPr>
                <w:rFonts w:hint="eastAsia" w:ascii="仿宋" w:hAnsi="仿宋" w:eastAsia="仿宋" w:cs="宋体"/>
                <w:b/>
                <w:bCs/>
                <w:color w:val="auto"/>
                <w:sz w:val="32"/>
                <w:szCs w:val="32"/>
                <w:lang w:val="hr-HR" w:eastAsia="zh-CN"/>
              </w:rPr>
              <w:t>月</w:t>
            </w:r>
          </w:p>
        </w:tc>
      </w:tr>
    </w:tbl>
    <w:p w14:paraId="57B55D05">
      <w:pPr>
        <w:jc w:val="center"/>
        <w:rPr>
          <w:rFonts w:ascii="仿宋" w:hAnsi="仿宋" w:eastAsia="仿宋" w:cs="宋体"/>
          <w:b/>
          <w:bCs/>
          <w:color w:val="auto"/>
          <w:sz w:val="44"/>
          <w:szCs w:val="44"/>
          <w:lang w:val="zh-CN"/>
        </w:rPr>
      </w:pPr>
      <w:r>
        <w:rPr>
          <w:rFonts w:hint="eastAsia" w:ascii="仿宋" w:hAnsi="仿宋" w:eastAsia="仿宋" w:cs="宋体"/>
          <w:b/>
          <w:bCs/>
          <w:color w:val="auto"/>
          <w:sz w:val="30"/>
          <w:szCs w:val="32"/>
          <w:lang w:val="zh-CN"/>
        </w:rPr>
        <w:br w:type="page"/>
      </w:r>
      <w:r>
        <w:rPr>
          <w:rFonts w:hint="eastAsia" w:ascii="仿宋" w:hAnsi="仿宋" w:eastAsia="仿宋" w:cs="宋体"/>
          <w:b/>
          <w:bCs/>
          <w:color w:val="auto"/>
          <w:sz w:val="44"/>
          <w:szCs w:val="44"/>
          <w:lang w:val="zh-CN"/>
        </w:rPr>
        <w:t>目  录</w:t>
      </w:r>
    </w:p>
    <w:p w14:paraId="0C5EB6B3">
      <w:pPr>
        <w:pStyle w:val="14"/>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color w:val="auto"/>
          <w:szCs w:val="21"/>
        </w:rPr>
        <w:instrText xml:space="preserve"> TOC \o "1-3" \h \z \u </w:instrText>
      </w:r>
      <w:r>
        <w:rPr>
          <w:rFonts w:hint="eastAsia" w:ascii="仿宋" w:hAnsi="仿宋" w:eastAsia="仿宋" w:cs="宋体"/>
          <w:color w:val="auto"/>
          <w:szCs w:val="21"/>
        </w:rPr>
        <w:fldChar w:fldCharType="separate"/>
      </w: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_Toc24675 </w:instrText>
      </w:r>
      <w:r>
        <w:rPr>
          <w:rFonts w:hint="eastAsia" w:ascii="仿宋" w:hAnsi="仿宋" w:eastAsia="仿宋" w:cs="宋体"/>
          <w:szCs w:val="21"/>
        </w:rPr>
        <w:fldChar w:fldCharType="separate"/>
      </w:r>
      <w:r>
        <w:rPr>
          <w:rFonts w:hint="default" w:ascii="仿宋" w:hAnsi="仿宋" w:eastAsia="仿宋" w:cs="宋体"/>
          <w:szCs w:val="36"/>
        </w:rPr>
        <w:t xml:space="preserve">第一章 </w:t>
      </w:r>
      <w:r>
        <w:rPr>
          <w:rFonts w:hint="eastAsia" w:ascii="仿宋" w:hAnsi="仿宋" w:eastAsia="仿宋" w:cs="宋体"/>
          <w:szCs w:val="36"/>
        </w:rPr>
        <w:t>竞争性磋商采购公告（代采购邀请函）</w:t>
      </w:r>
      <w:r>
        <w:tab/>
      </w:r>
      <w:r>
        <w:fldChar w:fldCharType="begin"/>
      </w:r>
      <w:r>
        <w:instrText xml:space="preserve"> PAGEREF _Toc24675 \h </w:instrText>
      </w:r>
      <w:r>
        <w:fldChar w:fldCharType="separate"/>
      </w:r>
      <w:r>
        <w:t>1</w:t>
      </w:r>
      <w:r>
        <w:fldChar w:fldCharType="end"/>
      </w:r>
      <w:r>
        <w:rPr>
          <w:rFonts w:hint="eastAsia" w:ascii="仿宋" w:hAnsi="仿宋" w:eastAsia="仿宋" w:cs="宋体"/>
          <w:color w:val="auto"/>
          <w:szCs w:val="21"/>
        </w:rPr>
        <w:fldChar w:fldCharType="end"/>
      </w:r>
    </w:p>
    <w:p w14:paraId="197552AC">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_Toc14559 </w:instrText>
      </w:r>
      <w:r>
        <w:rPr>
          <w:rFonts w:hint="eastAsia" w:ascii="仿宋" w:hAnsi="仿宋" w:eastAsia="仿宋" w:cs="宋体"/>
          <w:szCs w:val="21"/>
        </w:rPr>
        <w:fldChar w:fldCharType="separate"/>
      </w:r>
      <w:r>
        <w:rPr>
          <w:rFonts w:hint="eastAsia" w:ascii="仿宋" w:hAnsi="仿宋" w:eastAsia="仿宋" w:cs="仿宋"/>
          <w:szCs w:val="21"/>
        </w:rPr>
        <w:t>二、申请人的资格要求</w:t>
      </w:r>
      <w:r>
        <w:tab/>
      </w:r>
      <w:r>
        <w:fldChar w:fldCharType="begin"/>
      </w:r>
      <w:r>
        <w:instrText xml:space="preserve"> PAGEREF _Toc14559 \h </w:instrText>
      </w:r>
      <w:r>
        <w:fldChar w:fldCharType="separate"/>
      </w:r>
      <w:r>
        <w:t>1</w:t>
      </w:r>
      <w:r>
        <w:fldChar w:fldCharType="end"/>
      </w:r>
      <w:r>
        <w:rPr>
          <w:rFonts w:hint="eastAsia" w:ascii="仿宋" w:hAnsi="仿宋" w:eastAsia="仿宋" w:cs="宋体"/>
          <w:color w:val="auto"/>
          <w:szCs w:val="21"/>
        </w:rPr>
        <w:fldChar w:fldCharType="end"/>
      </w:r>
    </w:p>
    <w:p w14:paraId="73B2A491">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_Toc16913 </w:instrText>
      </w:r>
      <w:r>
        <w:rPr>
          <w:rFonts w:hint="eastAsia" w:ascii="仿宋" w:hAnsi="仿宋" w:eastAsia="仿宋" w:cs="宋体"/>
          <w:szCs w:val="21"/>
        </w:rPr>
        <w:fldChar w:fldCharType="separate"/>
      </w:r>
      <w:r>
        <w:rPr>
          <w:rFonts w:hint="eastAsia" w:ascii="仿宋" w:hAnsi="仿宋" w:eastAsia="仿宋" w:cs="仿宋"/>
          <w:szCs w:val="21"/>
        </w:rPr>
        <w:t>三、获取采购文件</w:t>
      </w:r>
      <w:r>
        <w:tab/>
      </w:r>
      <w:r>
        <w:fldChar w:fldCharType="begin"/>
      </w:r>
      <w:r>
        <w:instrText xml:space="preserve"> PAGEREF _Toc16913 \h </w:instrText>
      </w:r>
      <w:r>
        <w:fldChar w:fldCharType="separate"/>
      </w:r>
      <w:r>
        <w:t>2</w:t>
      </w:r>
      <w:r>
        <w:fldChar w:fldCharType="end"/>
      </w:r>
      <w:r>
        <w:rPr>
          <w:rFonts w:hint="eastAsia" w:ascii="仿宋" w:hAnsi="仿宋" w:eastAsia="仿宋" w:cs="宋体"/>
          <w:color w:val="auto"/>
          <w:szCs w:val="21"/>
        </w:rPr>
        <w:fldChar w:fldCharType="end"/>
      </w:r>
    </w:p>
    <w:p w14:paraId="00E63E83">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_Toc27066 </w:instrText>
      </w:r>
      <w:r>
        <w:rPr>
          <w:rFonts w:hint="eastAsia" w:ascii="仿宋" w:hAnsi="仿宋" w:eastAsia="仿宋" w:cs="宋体"/>
          <w:szCs w:val="21"/>
        </w:rPr>
        <w:fldChar w:fldCharType="separate"/>
      </w:r>
      <w:r>
        <w:rPr>
          <w:rFonts w:hint="eastAsia" w:ascii="仿宋" w:hAnsi="仿宋" w:eastAsia="仿宋" w:cs="仿宋"/>
          <w:szCs w:val="21"/>
        </w:rPr>
        <w:t>四、响应文件提交</w:t>
      </w:r>
      <w:r>
        <w:tab/>
      </w:r>
      <w:r>
        <w:fldChar w:fldCharType="begin"/>
      </w:r>
      <w:r>
        <w:instrText xml:space="preserve"> PAGEREF _Toc27066 \h </w:instrText>
      </w:r>
      <w:r>
        <w:fldChar w:fldCharType="separate"/>
      </w:r>
      <w:r>
        <w:t>2</w:t>
      </w:r>
      <w:r>
        <w:fldChar w:fldCharType="end"/>
      </w:r>
      <w:r>
        <w:rPr>
          <w:rFonts w:hint="eastAsia" w:ascii="仿宋" w:hAnsi="仿宋" w:eastAsia="仿宋" w:cs="宋体"/>
          <w:color w:val="auto"/>
          <w:szCs w:val="21"/>
        </w:rPr>
        <w:fldChar w:fldCharType="end"/>
      </w:r>
    </w:p>
    <w:p w14:paraId="05834AC7">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_Toc30574 </w:instrText>
      </w:r>
      <w:r>
        <w:rPr>
          <w:rFonts w:hint="eastAsia" w:ascii="仿宋" w:hAnsi="仿宋" w:eastAsia="仿宋" w:cs="宋体"/>
          <w:szCs w:val="21"/>
        </w:rPr>
        <w:fldChar w:fldCharType="separate"/>
      </w:r>
      <w:r>
        <w:rPr>
          <w:rFonts w:hint="eastAsia" w:ascii="仿宋" w:hAnsi="仿宋" w:eastAsia="仿宋" w:cs="仿宋"/>
          <w:szCs w:val="21"/>
        </w:rPr>
        <w:t>五、开启</w:t>
      </w:r>
      <w:r>
        <w:tab/>
      </w:r>
      <w:r>
        <w:fldChar w:fldCharType="begin"/>
      </w:r>
      <w:r>
        <w:instrText xml:space="preserve"> PAGEREF _Toc30574 \h </w:instrText>
      </w:r>
      <w:r>
        <w:fldChar w:fldCharType="separate"/>
      </w:r>
      <w:r>
        <w:t>3</w:t>
      </w:r>
      <w:r>
        <w:fldChar w:fldCharType="end"/>
      </w:r>
      <w:r>
        <w:rPr>
          <w:rFonts w:hint="eastAsia" w:ascii="仿宋" w:hAnsi="仿宋" w:eastAsia="仿宋" w:cs="宋体"/>
          <w:color w:val="auto"/>
          <w:szCs w:val="21"/>
        </w:rPr>
        <w:fldChar w:fldCharType="end"/>
      </w:r>
    </w:p>
    <w:p w14:paraId="778ECD1A">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_Toc5370 </w:instrText>
      </w:r>
      <w:r>
        <w:rPr>
          <w:rFonts w:hint="eastAsia" w:ascii="仿宋" w:hAnsi="仿宋" w:eastAsia="仿宋" w:cs="宋体"/>
          <w:szCs w:val="21"/>
        </w:rPr>
        <w:fldChar w:fldCharType="separate"/>
      </w:r>
      <w:r>
        <w:rPr>
          <w:rFonts w:hint="eastAsia" w:ascii="仿宋" w:hAnsi="仿宋" w:eastAsia="仿宋" w:cs="仿宋"/>
          <w:szCs w:val="21"/>
        </w:rPr>
        <w:t>六、公告期限</w:t>
      </w:r>
      <w:r>
        <w:tab/>
      </w:r>
      <w:r>
        <w:fldChar w:fldCharType="begin"/>
      </w:r>
      <w:r>
        <w:instrText xml:space="preserve"> PAGEREF _Toc5370 \h </w:instrText>
      </w:r>
      <w:r>
        <w:fldChar w:fldCharType="separate"/>
      </w:r>
      <w:r>
        <w:t>3</w:t>
      </w:r>
      <w:r>
        <w:fldChar w:fldCharType="end"/>
      </w:r>
      <w:r>
        <w:rPr>
          <w:rFonts w:hint="eastAsia" w:ascii="仿宋" w:hAnsi="仿宋" w:eastAsia="仿宋" w:cs="宋体"/>
          <w:color w:val="auto"/>
          <w:szCs w:val="21"/>
        </w:rPr>
        <w:fldChar w:fldCharType="end"/>
      </w:r>
    </w:p>
    <w:p w14:paraId="069C06FC">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_Toc10829 </w:instrText>
      </w:r>
      <w:r>
        <w:rPr>
          <w:rFonts w:hint="eastAsia" w:ascii="仿宋" w:hAnsi="仿宋" w:eastAsia="仿宋" w:cs="宋体"/>
          <w:szCs w:val="21"/>
        </w:rPr>
        <w:fldChar w:fldCharType="separate"/>
      </w:r>
      <w:r>
        <w:rPr>
          <w:rFonts w:hint="eastAsia" w:ascii="仿宋" w:hAnsi="仿宋" w:eastAsia="仿宋" w:cs="仿宋"/>
          <w:szCs w:val="21"/>
        </w:rPr>
        <w:t>七、其他补充事宜</w:t>
      </w:r>
      <w:r>
        <w:tab/>
      </w:r>
      <w:r>
        <w:fldChar w:fldCharType="begin"/>
      </w:r>
      <w:r>
        <w:instrText xml:space="preserve"> PAGEREF _Toc10829 \h </w:instrText>
      </w:r>
      <w:r>
        <w:fldChar w:fldCharType="separate"/>
      </w:r>
      <w:r>
        <w:t>3</w:t>
      </w:r>
      <w:r>
        <w:fldChar w:fldCharType="end"/>
      </w:r>
      <w:r>
        <w:rPr>
          <w:rFonts w:hint="eastAsia" w:ascii="仿宋" w:hAnsi="仿宋" w:eastAsia="仿宋" w:cs="宋体"/>
          <w:color w:val="auto"/>
          <w:szCs w:val="21"/>
        </w:rPr>
        <w:fldChar w:fldCharType="end"/>
      </w:r>
    </w:p>
    <w:p w14:paraId="7D9288FF">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_Toc6811 </w:instrText>
      </w:r>
      <w:r>
        <w:rPr>
          <w:rFonts w:hint="eastAsia" w:ascii="仿宋" w:hAnsi="仿宋" w:eastAsia="仿宋" w:cs="宋体"/>
          <w:szCs w:val="21"/>
        </w:rPr>
        <w:fldChar w:fldCharType="separate"/>
      </w:r>
      <w:r>
        <w:rPr>
          <w:rFonts w:hint="eastAsia" w:ascii="仿宋" w:hAnsi="仿宋" w:eastAsia="仿宋" w:cs="仿宋"/>
          <w:szCs w:val="21"/>
        </w:rPr>
        <w:t>八、凡对本次采购提出询问，请按以下方式联系</w:t>
      </w:r>
      <w:r>
        <w:tab/>
      </w:r>
      <w:r>
        <w:fldChar w:fldCharType="begin"/>
      </w:r>
      <w:r>
        <w:instrText xml:space="preserve"> PAGEREF _Toc6811 \h </w:instrText>
      </w:r>
      <w:r>
        <w:fldChar w:fldCharType="separate"/>
      </w:r>
      <w:r>
        <w:t>3</w:t>
      </w:r>
      <w:r>
        <w:fldChar w:fldCharType="end"/>
      </w:r>
      <w:r>
        <w:rPr>
          <w:rFonts w:hint="eastAsia" w:ascii="仿宋" w:hAnsi="仿宋" w:eastAsia="仿宋" w:cs="宋体"/>
          <w:color w:val="auto"/>
          <w:szCs w:val="21"/>
        </w:rPr>
        <w:fldChar w:fldCharType="end"/>
      </w:r>
    </w:p>
    <w:p w14:paraId="1445EDD2">
      <w:pPr>
        <w:pStyle w:val="14"/>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_Toc2642 </w:instrText>
      </w:r>
      <w:r>
        <w:rPr>
          <w:rFonts w:hint="eastAsia" w:ascii="仿宋" w:hAnsi="仿宋" w:eastAsia="仿宋" w:cs="宋体"/>
          <w:szCs w:val="21"/>
        </w:rPr>
        <w:fldChar w:fldCharType="separate"/>
      </w:r>
      <w:r>
        <w:rPr>
          <w:rFonts w:hint="default" w:ascii="仿宋" w:hAnsi="仿宋" w:eastAsia="仿宋" w:cs="宋体"/>
          <w:szCs w:val="36"/>
        </w:rPr>
        <w:t xml:space="preserve">第二章 </w:t>
      </w:r>
      <w:r>
        <w:rPr>
          <w:rFonts w:hint="eastAsia" w:ascii="仿宋" w:hAnsi="仿宋" w:eastAsia="仿宋" w:cs="宋体"/>
          <w:szCs w:val="36"/>
        </w:rPr>
        <w:t>供应商须知</w:t>
      </w:r>
      <w:r>
        <w:tab/>
      </w:r>
      <w:r>
        <w:fldChar w:fldCharType="begin"/>
      </w:r>
      <w:r>
        <w:instrText xml:space="preserve"> PAGEREF _Toc2642 \h </w:instrText>
      </w:r>
      <w:r>
        <w:fldChar w:fldCharType="separate"/>
      </w:r>
      <w:r>
        <w:t>4</w:t>
      </w:r>
      <w:r>
        <w:fldChar w:fldCharType="end"/>
      </w:r>
      <w:r>
        <w:rPr>
          <w:rFonts w:hint="eastAsia" w:ascii="仿宋" w:hAnsi="仿宋" w:eastAsia="仿宋" w:cs="宋体"/>
          <w:color w:val="auto"/>
          <w:szCs w:val="21"/>
        </w:rPr>
        <w:fldChar w:fldCharType="end"/>
      </w:r>
    </w:p>
    <w:p w14:paraId="385E6F9E">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_Toc17663 </w:instrText>
      </w:r>
      <w:r>
        <w:rPr>
          <w:rFonts w:hint="eastAsia" w:ascii="仿宋" w:hAnsi="仿宋" w:eastAsia="仿宋" w:cs="宋体"/>
          <w:szCs w:val="21"/>
        </w:rPr>
        <w:fldChar w:fldCharType="separate"/>
      </w:r>
      <w:r>
        <w:rPr>
          <w:rFonts w:hint="eastAsia" w:ascii="仿宋" w:hAnsi="仿宋" w:eastAsia="仿宋" w:cs="仿宋"/>
          <w:szCs w:val="21"/>
        </w:rPr>
        <w:t>《供应商须知前附表》</w:t>
      </w:r>
      <w:r>
        <w:tab/>
      </w:r>
      <w:r>
        <w:fldChar w:fldCharType="begin"/>
      </w:r>
      <w:r>
        <w:instrText xml:space="preserve"> PAGEREF _Toc17663 \h </w:instrText>
      </w:r>
      <w:r>
        <w:fldChar w:fldCharType="separate"/>
      </w:r>
      <w:r>
        <w:t>4</w:t>
      </w:r>
      <w:r>
        <w:fldChar w:fldCharType="end"/>
      </w:r>
      <w:r>
        <w:rPr>
          <w:rFonts w:hint="eastAsia" w:ascii="仿宋" w:hAnsi="仿宋" w:eastAsia="仿宋" w:cs="宋体"/>
          <w:color w:val="auto"/>
          <w:szCs w:val="21"/>
        </w:rPr>
        <w:fldChar w:fldCharType="end"/>
      </w:r>
    </w:p>
    <w:p w14:paraId="26F14FAF">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_Toc21615 </w:instrText>
      </w:r>
      <w:r>
        <w:rPr>
          <w:rFonts w:hint="eastAsia" w:ascii="仿宋" w:hAnsi="仿宋" w:eastAsia="仿宋" w:cs="宋体"/>
          <w:szCs w:val="21"/>
        </w:rPr>
        <w:fldChar w:fldCharType="separate"/>
      </w:r>
      <w:r>
        <w:rPr>
          <w:rFonts w:hint="eastAsia" w:ascii="仿宋" w:hAnsi="仿宋" w:eastAsia="仿宋" w:cs="宋体"/>
          <w:szCs w:val="21"/>
        </w:rPr>
        <w:t>供应商须知</w:t>
      </w:r>
      <w:r>
        <w:tab/>
      </w:r>
      <w:r>
        <w:fldChar w:fldCharType="begin"/>
      </w:r>
      <w:r>
        <w:instrText xml:space="preserve"> PAGEREF _Toc21615 \h </w:instrText>
      </w:r>
      <w:r>
        <w:fldChar w:fldCharType="separate"/>
      </w:r>
      <w:r>
        <w:t>9</w:t>
      </w:r>
      <w:r>
        <w:fldChar w:fldCharType="end"/>
      </w:r>
      <w:r>
        <w:rPr>
          <w:rFonts w:hint="eastAsia" w:ascii="仿宋" w:hAnsi="仿宋" w:eastAsia="仿宋" w:cs="宋体"/>
          <w:color w:val="auto"/>
          <w:szCs w:val="21"/>
        </w:rPr>
        <w:fldChar w:fldCharType="end"/>
      </w:r>
    </w:p>
    <w:p w14:paraId="1E4AEDD5">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_Toc4326 </w:instrText>
      </w:r>
      <w:r>
        <w:rPr>
          <w:rFonts w:hint="eastAsia" w:ascii="仿宋" w:hAnsi="仿宋" w:eastAsia="仿宋" w:cs="宋体"/>
          <w:szCs w:val="21"/>
        </w:rPr>
        <w:fldChar w:fldCharType="separate"/>
      </w:r>
      <w:r>
        <w:rPr>
          <w:rFonts w:hint="default" w:ascii="仿宋" w:hAnsi="仿宋" w:eastAsia="仿宋" w:cs="宋体"/>
          <w:szCs w:val="21"/>
        </w:rPr>
        <w:t xml:space="preserve">一、 </w:t>
      </w:r>
      <w:r>
        <w:rPr>
          <w:rFonts w:hint="eastAsia" w:ascii="仿宋" w:hAnsi="仿宋" w:eastAsia="仿宋" w:cs="宋体"/>
          <w:szCs w:val="21"/>
        </w:rPr>
        <w:t>总则</w:t>
      </w:r>
      <w:r>
        <w:tab/>
      </w:r>
      <w:r>
        <w:fldChar w:fldCharType="begin"/>
      </w:r>
      <w:r>
        <w:instrText xml:space="preserve"> PAGEREF _Toc4326 \h </w:instrText>
      </w:r>
      <w:r>
        <w:fldChar w:fldCharType="separate"/>
      </w:r>
      <w:r>
        <w:t>9</w:t>
      </w:r>
      <w:r>
        <w:fldChar w:fldCharType="end"/>
      </w:r>
      <w:r>
        <w:rPr>
          <w:rFonts w:hint="eastAsia" w:ascii="仿宋" w:hAnsi="仿宋" w:eastAsia="仿宋" w:cs="宋体"/>
          <w:color w:val="auto"/>
          <w:szCs w:val="21"/>
        </w:rPr>
        <w:fldChar w:fldCharType="end"/>
      </w:r>
    </w:p>
    <w:p w14:paraId="3D58965A">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_Toc24479 </w:instrText>
      </w:r>
      <w:r>
        <w:rPr>
          <w:rFonts w:hint="eastAsia" w:ascii="仿宋" w:hAnsi="仿宋" w:eastAsia="仿宋" w:cs="宋体"/>
          <w:szCs w:val="21"/>
        </w:rPr>
        <w:fldChar w:fldCharType="separate"/>
      </w:r>
      <w:r>
        <w:rPr>
          <w:rFonts w:hint="default" w:ascii="仿宋" w:hAnsi="仿宋" w:eastAsia="仿宋" w:cs="宋体"/>
          <w:szCs w:val="21"/>
        </w:rPr>
        <w:t xml:space="preserve">1、 </w:t>
      </w:r>
      <w:r>
        <w:rPr>
          <w:rFonts w:hint="eastAsia" w:ascii="仿宋" w:hAnsi="仿宋" w:eastAsia="仿宋" w:cs="宋体"/>
          <w:szCs w:val="21"/>
        </w:rPr>
        <w:t>适用法律及范围</w:t>
      </w:r>
      <w:r>
        <w:tab/>
      </w:r>
      <w:r>
        <w:fldChar w:fldCharType="begin"/>
      </w:r>
      <w:r>
        <w:instrText xml:space="preserve"> PAGEREF _Toc24479 \h </w:instrText>
      </w:r>
      <w:r>
        <w:fldChar w:fldCharType="separate"/>
      </w:r>
      <w:r>
        <w:t>9</w:t>
      </w:r>
      <w:r>
        <w:fldChar w:fldCharType="end"/>
      </w:r>
      <w:r>
        <w:rPr>
          <w:rFonts w:hint="eastAsia" w:ascii="仿宋" w:hAnsi="仿宋" w:eastAsia="仿宋" w:cs="宋体"/>
          <w:color w:val="auto"/>
          <w:szCs w:val="21"/>
        </w:rPr>
        <w:fldChar w:fldCharType="end"/>
      </w:r>
    </w:p>
    <w:p w14:paraId="4E0A1A10">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_Toc22989 </w:instrText>
      </w:r>
      <w:r>
        <w:rPr>
          <w:rFonts w:hint="eastAsia" w:ascii="仿宋" w:hAnsi="仿宋" w:eastAsia="仿宋" w:cs="宋体"/>
          <w:szCs w:val="21"/>
        </w:rPr>
        <w:fldChar w:fldCharType="separate"/>
      </w:r>
      <w:r>
        <w:rPr>
          <w:rFonts w:hint="default" w:ascii="仿宋" w:hAnsi="仿宋" w:eastAsia="仿宋" w:cs="宋体"/>
          <w:szCs w:val="21"/>
        </w:rPr>
        <w:t xml:space="preserve">2、 </w:t>
      </w:r>
      <w:r>
        <w:rPr>
          <w:rFonts w:hint="eastAsia" w:ascii="仿宋" w:hAnsi="仿宋" w:eastAsia="仿宋" w:cs="宋体"/>
          <w:szCs w:val="21"/>
        </w:rPr>
        <w:t>定义</w:t>
      </w:r>
      <w:r>
        <w:tab/>
      </w:r>
      <w:r>
        <w:fldChar w:fldCharType="begin"/>
      </w:r>
      <w:r>
        <w:instrText xml:space="preserve"> PAGEREF _Toc22989 \h </w:instrText>
      </w:r>
      <w:r>
        <w:fldChar w:fldCharType="separate"/>
      </w:r>
      <w:r>
        <w:t>9</w:t>
      </w:r>
      <w:r>
        <w:fldChar w:fldCharType="end"/>
      </w:r>
      <w:r>
        <w:rPr>
          <w:rFonts w:hint="eastAsia" w:ascii="仿宋" w:hAnsi="仿宋" w:eastAsia="仿宋" w:cs="宋体"/>
          <w:color w:val="auto"/>
          <w:szCs w:val="21"/>
        </w:rPr>
        <w:fldChar w:fldCharType="end"/>
      </w:r>
    </w:p>
    <w:p w14:paraId="12C2FE8B">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_Toc8230 </w:instrText>
      </w:r>
      <w:r>
        <w:rPr>
          <w:rFonts w:hint="eastAsia" w:ascii="仿宋" w:hAnsi="仿宋" w:eastAsia="仿宋" w:cs="宋体"/>
          <w:szCs w:val="21"/>
        </w:rPr>
        <w:fldChar w:fldCharType="separate"/>
      </w:r>
      <w:r>
        <w:rPr>
          <w:rFonts w:hint="default" w:ascii="仿宋" w:hAnsi="仿宋" w:eastAsia="仿宋" w:cs="宋体"/>
          <w:szCs w:val="21"/>
        </w:rPr>
        <w:t xml:space="preserve">3、 </w:t>
      </w:r>
      <w:r>
        <w:rPr>
          <w:rFonts w:hint="eastAsia" w:ascii="仿宋" w:hAnsi="仿宋" w:eastAsia="仿宋" w:cs="宋体"/>
          <w:szCs w:val="21"/>
        </w:rPr>
        <w:t>费用</w:t>
      </w:r>
      <w:r>
        <w:tab/>
      </w:r>
      <w:r>
        <w:fldChar w:fldCharType="begin"/>
      </w:r>
      <w:r>
        <w:instrText xml:space="preserve"> PAGEREF _Toc8230 \h </w:instrText>
      </w:r>
      <w:r>
        <w:fldChar w:fldCharType="separate"/>
      </w:r>
      <w:r>
        <w:t>9</w:t>
      </w:r>
      <w:r>
        <w:fldChar w:fldCharType="end"/>
      </w:r>
      <w:r>
        <w:rPr>
          <w:rFonts w:hint="eastAsia" w:ascii="仿宋" w:hAnsi="仿宋" w:eastAsia="仿宋" w:cs="宋体"/>
          <w:color w:val="auto"/>
          <w:szCs w:val="21"/>
        </w:rPr>
        <w:fldChar w:fldCharType="end"/>
      </w:r>
    </w:p>
    <w:p w14:paraId="31BA5AC6">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_Toc13982 </w:instrText>
      </w:r>
      <w:r>
        <w:rPr>
          <w:rFonts w:hint="eastAsia" w:ascii="仿宋" w:hAnsi="仿宋" w:eastAsia="仿宋" w:cs="宋体"/>
          <w:szCs w:val="21"/>
        </w:rPr>
        <w:fldChar w:fldCharType="separate"/>
      </w:r>
      <w:r>
        <w:rPr>
          <w:rFonts w:hint="default" w:ascii="仿宋" w:hAnsi="仿宋" w:eastAsia="仿宋" w:cs="宋体"/>
          <w:szCs w:val="21"/>
        </w:rPr>
        <w:t xml:space="preserve">4、 </w:t>
      </w:r>
      <w:r>
        <w:rPr>
          <w:rFonts w:hint="eastAsia" w:ascii="仿宋" w:hAnsi="仿宋" w:eastAsia="仿宋" w:cs="宋体"/>
          <w:snapToGrid w:val="0"/>
          <w:kern w:val="0"/>
          <w:szCs w:val="21"/>
          <w:lang w:val="zh-CN"/>
        </w:rPr>
        <w:t>工程、货物及服务</w:t>
      </w:r>
      <w:r>
        <w:tab/>
      </w:r>
      <w:r>
        <w:fldChar w:fldCharType="begin"/>
      </w:r>
      <w:r>
        <w:instrText xml:space="preserve"> PAGEREF _Toc13982 \h </w:instrText>
      </w:r>
      <w:r>
        <w:fldChar w:fldCharType="separate"/>
      </w:r>
      <w:r>
        <w:t>10</w:t>
      </w:r>
      <w:r>
        <w:fldChar w:fldCharType="end"/>
      </w:r>
      <w:r>
        <w:rPr>
          <w:rFonts w:hint="eastAsia" w:ascii="仿宋" w:hAnsi="仿宋" w:eastAsia="仿宋" w:cs="宋体"/>
          <w:color w:val="auto"/>
          <w:szCs w:val="21"/>
        </w:rPr>
        <w:fldChar w:fldCharType="end"/>
      </w:r>
    </w:p>
    <w:p w14:paraId="1E63EB11">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_Toc24092 </w:instrText>
      </w:r>
      <w:r>
        <w:rPr>
          <w:rFonts w:hint="eastAsia" w:ascii="仿宋" w:hAnsi="仿宋" w:eastAsia="仿宋" w:cs="宋体"/>
          <w:szCs w:val="21"/>
        </w:rPr>
        <w:fldChar w:fldCharType="separate"/>
      </w:r>
      <w:r>
        <w:rPr>
          <w:rFonts w:hint="default" w:ascii="仿宋" w:hAnsi="仿宋" w:eastAsia="仿宋" w:cs="宋体"/>
          <w:szCs w:val="21"/>
        </w:rPr>
        <w:t xml:space="preserve">二、 </w:t>
      </w:r>
      <w:r>
        <w:rPr>
          <w:rFonts w:hint="eastAsia" w:ascii="仿宋" w:hAnsi="仿宋" w:eastAsia="仿宋" w:cs="宋体"/>
          <w:szCs w:val="21"/>
        </w:rPr>
        <w:t>竞争性磋商采购文件</w:t>
      </w:r>
      <w:r>
        <w:tab/>
      </w:r>
      <w:r>
        <w:fldChar w:fldCharType="begin"/>
      </w:r>
      <w:r>
        <w:instrText xml:space="preserve"> PAGEREF _Toc24092 \h </w:instrText>
      </w:r>
      <w:r>
        <w:fldChar w:fldCharType="separate"/>
      </w:r>
      <w:r>
        <w:t>10</w:t>
      </w:r>
      <w:r>
        <w:fldChar w:fldCharType="end"/>
      </w:r>
      <w:r>
        <w:rPr>
          <w:rFonts w:hint="eastAsia" w:ascii="仿宋" w:hAnsi="仿宋" w:eastAsia="仿宋" w:cs="宋体"/>
          <w:color w:val="auto"/>
          <w:szCs w:val="21"/>
        </w:rPr>
        <w:fldChar w:fldCharType="end"/>
      </w:r>
    </w:p>
    <w:p w14:paraId="7313F88A">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_Toc28831 </w:instrText>
      </w:r>
      <w:r>
        <w:rPr>
          <w:rFonts w:hint="eastAsia" w:ascii="仿宋" w:hAnsi="仿宋" w:eastAsia="仿宋" w:cs="宋体"/>
          <w:szCs w:val="21"/>
        </w:rPr>
        <w:fldChar w:fldCharType="separate"/>
      </w:r>
      <w:r>
        <w:rPr>
          <w:rFonts w:hint="default" w:ascii="仿宋" w:hAnsi="仿宋" w:eastAsia="仿宋" w:cs="宋体"/>
          <w:szCs w:val="21"/>
        </w:rPr>
        <w:t xml:space="preserve">5、 </w:t>
      </w:r>
      <w:r>
        <w:rPr>
          <w:rFonts w:hint="eastAsia" w:ascii="仿宋" w:hAnsi="仿宋" w:eastAsia="仿宋" w:cs="宋体"/>
          <w:szCs w:val="21"/>
        </w:rPr>
        <w:t>竞争性磋商采购文件的构成</w:t>
      </w:r>
      <w:r>
        <w:tab/>
      </w:r>
      <w:r>
        <w:fldChar w:fldCharType="begin"/>
      </w:r>
      <w:r>
        <w:instrText xml:space="preserve"> PAGEREF _Toc28831 \h </w:instrText>
      </w:r>
      <w:r>
        <w:fldChar w:fldCharType="separate"/>
      </w:r>
      <w:r>
        <w:t>10</w:t>
      </w:r>
      <w:r>
        <w:fldChar w:fldCharType="end"/>
      </w:r>
      <w:r>
        <w:rPr>
          <w:rFonts w:hint="eastAsia" w:ascii="仿宋" w:hAnsi="仿宋" w:eastAsia="仿宋" w:cs="宋体"/>
          <w:color w:val="auto"/>
          <w:szCs w:val="21"/>
        </w:rPr>
        <w:fldChar w:fldCharType="end"/>
      </w:r>
    </w:p>
    <w:p w14:paraId="73443194">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_Toc274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6、 </w:t>
      </w:r>
      <w:r>
        <w:rPr>
          <w:rFonts w:hint="eastAsia" w:ascii="仿宋" w:hAnsi="仿宋" w:eastAsia="仿宋" w:cs="宋体"/>
          <w:snapToGrid w:val="0"/>
          <w:kern w:val="0"/>
          <w:szCs w:val="21"/>
          <w:lang w:val="zh-CN"/>
        </w:rPr>
        <w:t>竞争性磋商采购文件的澄清</w:t>
      </w:r>
      <w:r>
        <w:tab/>
      </w:r>
      <w:r>
        <w:fldChar w:fldCharType="begin"/>
      </w:r>
      <w:r>
        <w:instrText xml:space="preserve"> PAGEREF _Toc274 \h </w:instrText>
      </w:r>
      <w:r>
        <w:fldChar w:fldCharType="separate"/>
      </w:r>
      <w:r>
        <w:t>10</w:t>
      </w:r>
      <w:r>
        <w:fldChar w:fldCharType="end"/>
      </w:r>
      <w:r>
        <w:rPr>
          <w:rFonts w:hint="eastAsia" w:ascii="仿宋" w:hAnsi="仿宋" w:eastAsia="仿宋" w:cs="宋体"/>
          <w:color w:val="auto"/>
          <w:szCs w:val="21"/>
        </w:rPr>
        <w:fldChar w:fldCharType="end"/>
      </w:r>
    </w:p>
    <w:p w14:paraId="425D21FA">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_Toc3828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7、 </w:t>
      </w:r>
      <w:r>
        <w:rPr>
          <w:rFonts w:hint="eastAsia" w:ascii="仿宋" w:hAnsi="仿宋" w:eastAsia="仿宋" w:cs="宋体"/>
          <w:snapToGrid w:val="0"/>
          <w:kern w:val="0"/>
          <w:szCs w:val="21"/>
          <w:lang w:val="zh-CN"/>
        </w:rPr>
        <w:t>竞争性磋商采购文件的修改</w:t>
      </w:r>
      <w:r>
        <w:tab/>
      </w:r>
      <w:r>
        <w:fldChar w:fldCharType="begin"/>
      </w:r>
      <w:r>
        <w:instrText xml:space="preserve"> PAGEREF _Toc3828 \h </w:instrText>
      </w:r>
      <w:r>
        <w:fldChar w:fldCharType="separate"/>
      </w:r>
      <w:r>
        <w:t>11</w:t>
      </w:r>
      <w:r>
        <w:fldChar w:fldCharType="end"/>
      </w:r>
      <w:r>
        <w:rPr>
          <w:rFonts w:hint="eastAsia" w:ascii="仿宋" w:hAnsi="仿宋" w:eastAsia="仿宋" w:cs="宋体"/>
          <w:color w:val="auto"/>
          <w:szCs w:val="21"/>
        </w:rPr>
        <w:fldChar w:fldCharType="end"/>
      </w:r>
    </w:p>
    <w:p w14:paraId="322A7648">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_Toc8716 </w:instrText>
      </w:r>
      <w:r>
        <w:rPr>
          <w:rFonts w:hint="eastAsia" w:ascii="仿宋" w:hAnsi="仿宋" w:eastAsia="仿宋" w:cs="宋体"/>
          <w:szCs w:val="21"/>
        </w:rPr>
        <w:fldChar w:fldCharType="separate"/>
      </w:r>
      <w:r>
        <w:rPr>
          <w:rFonts w:hint="default" w:ascii="仿宋" w:hAnsi="仿宋" w:eastAsia="仿宋" w:cs="宋体"/>
          <w:szCs w:val="21"/>
        </w:rPr>
        <w:t xml:space="preserve">三、 </w:t>
      </w:r>
      <w:r>
        <w:rPr>
          <w:rFonts w:hint="eastAsia" w:ascii="仿宋" w:hAnsi="仿宋" w:eastAsia="仿宋" w:cs="宋体"/>
          <w:szCs w:val="21"/>
        </w:rPr>
        <w:t>竞争性磋商响应文件</w:t>
      </w:r>
      <w:r>
        <w:tab/>
      </w:r>
      <w:r>
        <w:fldChar w:fldCharType="begin"/>
      </w:r>
      <w:r>
        <w:instrText xml:space="preserve"> PAGEREF _Toc8716 \h </w:instrText>
      </w:r>
      <w:r>
        <w:fldChar w:fldCharType="separate"/>
      </w:r>
      <w:r>
        <w:t>11</w:t>
      </w:r>
      <w:r>
        <w:fldChar w:fldCharType="end"/>
      </w:r>
      <w:r>
        <w:rPr>
          <w:rFonts w:hint="eastAsia" w:ascii="仿宋" w:hAnsi="仿宋" w:eastAsia="仿宋" w:cs="宋体"/>
          <w:color w:val="auto"/>
          <w:szCs w:val="21"/>
        </w:rPr>
        <w:fldChar w:fldCharType="end"/>
      </w:r>
    </w:p>
    <w:p w14:paraId="79054B7E">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_Toc829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8、 </w:t>
      </w:r>
      <w:r>
        <w:rPr>
          <w:rFonts w:hint="eastAsia" w:ascii="仿宋" w:hAnsi="仿宋" w:eastAsia="仿宋" w:cs="宋体"/>
          <w:snapToGrid w:val="0"/>
          <w:kern w:val="0"/>
          <w:szCs w:val="21"/>
          <w:lang w:val="zh-CN"/>
        </w:rPr>
        <w:t>语言和计量单位</w:t>
      </w:r>
      <w:r>
        <w:tab/>
      </w:r>
      <w:r>
        <w:fldChar w:fldCharType="begin"/>
      </w:r>
      <w:r>
        <w:instrText xml:space="preserve"> PAGEREF _Toc829 \h </w:instrText>
      </w:r>
      <w:r>
        <w:fldChar w:fldCharType="separate"/>
      </w:r>
      <w:r>
        <w:t>11</w:t>
      </w:r>
      <w:r>
        <w:fldChar w:fldCharType="end"/>
      </w:r>
      <w:r>
        <w:rPr>
          <w:rFonts w:hint="eastAsia" w:ascii="仿宋" w:hAnsi="仿宋" w:eastAsia="仿宋" w:cs="宋体"/>
          <w:color w:val="auto"/>
          <w:szCs w:val="21"/>
        </w:rPr>
        <w:fldChar w:fldCharType="end"/>
      </w:r>
    </w:p>
    <w:p w14:paraId="3969B5A1">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_Toc24106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9、 </w:t>
      </w:r>
      <w:r>
        <w:rPr>
          <w:rFonts w:hint="eastAsia" w:ascii="仿宋" w:hAnsi="仿宋" w:eastAsia="仿宋" w:cs="宋体"/>
          <w:snapToGrid w:val="0"/>
          <w:kern w:val="0"/>
          <w:szCs w:val="21"/>
          <w:lang w:val="zh-CN"/>
        </w:rPr>
        <w:t>竞争性磋商响应文件的构成</w:t>
      </w:r>
      <w:r>
        <w:tab/>
      </w:r>
      <w:r>
        <w:fldChar w:fldCharType="begin"/>
      </w:r>
      <w:r>
        <w:instrText xml:space="preserve"> PAGEREF _Toc24106 \h </w:instrText>
      </w:r>
      <w:r>
        <w:fldChar w:fldCharType="separate"/>
      </w:r>
      <w:r>
        <w:t>11</w:t>
      </w:r>
      <w:r>
        <w:fldChar w:fldCharType="end"/>
      </w:r>
      <w:r>
        <w:rPr>
          <w:rFonts w:hint="eastAsia" w:ascii="仿宋" w:hAnsi="仿宋" w:eastAsia="仿宋" w:cs="宋体"/>
          <w:color w:val="auto"/>
          <w:szCs w:val="21"/>
        </w:rPr>
        <w:fldChar w:fldCharType="end"/>
      </w:r>
    </w:p>
    <w:p w14:paraId="5805AA88">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_Toc10261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10、 </w:t>
      </w:r>
      <w:r>
        <w:rPr>
          <w:rFonts w:hint="eastAsia" w:ascii="仿宋" w:hAnsi="仿宋" w:eastAsia="仿宋" w:cs="宋体"/>
          <w:snapToGrid w:val="0"/>
          <w:kern w:val="0"/>
          <w:szCs w:val="21"/>
          <w:lang w:val="zh-CN"/>
        </w:rPr>
        <w:t>竞争性磋商响应文件的编制</w:t>
      </w:r>
      <w:r>
        <w:tab/>
      </w:r>
      <w:r>
        <w:fldChar w:fldCharType="begin"/>
      </w:r>
      <w:r>
        <w:instrText xml:space="preserve"> PAGEREF _Toc10261 \h </w:instrText>
      </w:r>
      <w:r>
        <w:fldChar w:fldCharType="separate"/>
      </w:r>
      <w:r>
        <w:t>11</w:t>
      </w:r>
      <w:r>
        <w:fldChar w:fldCharType="end"/>
      </w:r>
      <w:r>
        <w:rPr>
          <w:rFonts w:hint="eastAsia" w:ascii="仿宋" w:hAnsi="仿宋" w:eastAsia="仿宋" w:cs="宋体"/>
          <w:color w:val="auto"/>
          <w:szCs w:val="21"/>
        </w:rPr>
        <w:fldChar w:fldCharType="end"/>
      </w:r>
    </w:p>
    <w:p w14:paraId="000FAFE3">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_Toc30641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11、 </w:t>
      </w:r>
      <w:r>
        <w:rPr>
          <w:rFonts w:hint="eastAsia" w:ascii="仿宋" w:hAnsi="仿宋" w:eastAsia="仿宋" w:cs="宋体"/>
          <w:snapToGrid w:val="0"/>
          <w:kern w:val="0"/>
          <w:szCs w:val="21"/>
          <w:lang w:val="zh-CN"/>
        </w:rPr>
        <w:t>磋商报价</w:t>
      </w:r>
      <w:r>
        <w:tab/>
      </w:r>
      <w:r>
        <w:fldChar w:fldCharType="begin"/>
      </w:r>
      <w:r>
        <w:instrText xml:space="preserve"> PAGEREF _Toc30641 \h </w:instrText>
      </w:r>
      <w:r>
        <w:fldChar w:fldCharType="separate"/>
      </w:r>
      <w:r>
        <w:t>12</w:t>
      </w:r>
      <w:r>
        <w:fldChar w:fldCharType="end"/>
      </w:r>
      <w:r>
        <w:rPr>
          <w:rFonts w:hint="eastAsia" w:ascii="仿宋" w:hAnsi="仿宋" w:eastAsia="仿宋" w:cs="宋体"/>
          <w:color w:val="auto"/>
          <w:szCs w:val="21"/>
        </w:rPr>
        <w:fldChar w:fldCharType="end"/>
      </w:r>
    </w:p>
    <w:p w14:paraId="1571E4C2">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_Toc2164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12、 </w:t>
      </w:r>
      <w:r>
        <w:rPr>
          <w:rFonts w:hint="eastAsia" w:ascii="仿宋" w:hAnsi="仿宋" w:eastAsia="仿宋" w:cs="宋体"/>
          <w:snapToGrid w:val="0"/>
          <w:kern w:val="0"/>
          <w:szCs w:val="21"/>
          <w:lang w:val="zh-CN"/>
        </w:rPr>
        <w:t>备选方案</w:t>
      </w:r>
      <w:r>
        <w:tab/>
      </w:r>
      <w:r>
        <w:fldChar w:fldCharType="begin"/>
      </w:r>
      <w:r>
        <w:instrText xml:space="preserve"> PAGEREF _Toc2164 \h </w:instrText>
      </w:r>
      <w:r>
        <w:fldChar w:fldCharType="separate"/>
      </w:r>
      <w:r>
        <w:t>12</w:t>
      </w:r>
      <w:r>
        <w:fldChar w:fldCharType="end"/>
      </w:r>
      <w:r>
        <w:rPr>
          <w:rFonts w:hint="eastAsia" w:ascii="仿宋" w:hAnsi="仿宋" w:eastAsia="仿宋" w:cs="宋体"/>
          <w:color w:val="auto"/>
          <w:szCs w:val="21"/>
        </w:rPr>
        <w:fldChar w:fldCharType="end"/>
      </w:r>
    </w:p>
    <w:p w14:paraId="2C60B2F4">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_Toc91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13、 </w:t>
      </w:r>
      <w:r>
        <w:rPr>
          <w:rFonts w:hint="eastAsia" w:ascii="仿宋" w:hAnsi="仿宋" w:eastAsia="仿宋" w:cs="宋体"/>
          <w:snapToGrid w:val="0"/>
          <w:kern w:val="0"/>
          <w:szCs w:val="21"/>
          <w:lang w:val="zh-CN"/>
        </w:rPr>
        <w:t>联合体</w:t>
      </w:r>
      <w:r>
        <w:tab/>
      </w:r>
      <w:r>
        <w:fldChar w:fldCharType="begin"/>
      </w:r>
      <w:r>
        <w:instrText xml:space="preserve"> PAGEREF _Toc91 \h </w:instrText>
      </w:r>
      <w:r>
        <w:fldChar w:fldCharType="separate"/>
      </w:r>
      <w:r>
        <w:t>12</w:t>
      </w:r>
      <w:r>
        <w:fldChar w:fldCharType="end"/>
      </w:r>
      <w:r>
        <w:rPr>
          <w:rFonts w:hint="eastAsia" w:ascii="仿宋" w:hAnsi="仿宋" w:eastAsia="仿宋" w:cs="宋体"/>
          <w:color w:val="auto"/>
          <w:szCs w:val="21"/>
        </w:rPr>
        <w:fldChar w:fldCharType="end"/>
      </w:r>
    </w:p>
    <w:p w14:paraId="02396D84">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_Toc24391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14、 </w:t>
      </w:r>
      <w:r>
        <w:rPr>
          <w:rFonts w:hint="eastAsia" w:ascii="仿宋" w:hAnsi="仿宋" w:eastAsia="仿宋" w:cs="宋体"/>
          <w:snapToGrid w:val="0"/>
          <w:kern w:val="0"/>
          <w:szCs w:val="21"/>
          <w:lang w:val="zh-CN"/>
        </w:rPr>
        <w:t>供应商资格证明文件</w:t>
      </w:r>
      <w:r>
        <w:tab/>
      </w:r>
      <w:r>
        <w:fldChar w:fldCharType="begin"/>
      </w:r>
      <w:r>
        <w:instrText xml:space="preserve"> PAGEREF _Toc24391 \h </w:instrText>
      </w:r>
      <w:r>
        <w:fldChar w:fldCharType="separate"/>
      </w:r>
      <w:r>
        <w:t>12</w:t>
      </w:r>
      <w:r>
        <w:fldChar w:fldCharType="end"/>
      </w:r>
      <w:r>
        <w:rPr>
          <w:rFonts w:hint="eastAsia" w:ascii="仿宋" w:hAnsi="仿宋" w:eastAsia="仿宋" w:cs="宋体"/>
          <w:color w:val="auto"/>
          <w:szCs w:val="21"/>
        </w:rPr>
        <w:fldChar w:fldCharType="end"/>
      </w:r>
    </w:p>
    <w:p w14:paraId="6384D78B">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_Toc24335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15、 </w:t>
      </w:r>
      <w:r>
        <w:rPr>
          <w:rFonts w:hint="eastAsia" w:ascii="仿宋" w:hAnsi="仿宋" w:eastAsia="仿宋" w:cs="宋体"/>
          <w:snapToGrid w:val="0"/>
          <w:kern w:val="0"/>
          <w:szCs w:val="21"/>
          <w:lang w:val="zh-CN"/>
        </w:rPr>
        <w:t>证明报价内容、服务合格性和符合竞争性磋商采购文件规定的文件</w:t>
      </w:r>
      <w:r>
        <w:tab/>
      </w:r>
      <w:r>
        <w:fldChar w:fldCharType="begin"/>
      </w:r>
      <w:r>
        <w:instrText xml:space="preserve"> PAGEREF _Toc24335 \h </w:instrText>
      </w:r>
      <w:r>
        <w:fldChar w:fldCharType="separate"/>
      </w:r>
      <w:r>
        <w:t>13</w:t>
      </w:r>
      <w:r>
        <w:fldChar w:fldCharType="end"/>
      </w:r>
      <w:r>
        <w:rPr>
          <w:rFonts w:hint="eastAsia" w:ascii="仿宋" w:hAnsi="仿宋" w:eastAsia="仿宋" w:cs="宋体"/>
          <w:color w:val="auto"/>
          <w:szCs w:val="21"/>
        </w:rPr>
        <w:fldChar w:fldCharType="end"/>
      </w:r>
    </w:p>
    <w:p w14:paraId="7FAB538F">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_Toc30915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16、 </w:t>
      </w:r>
      <w:r>
        <w:rPr>
          <w:rFonts w:hint="eastAsia" w:ascii="仿宋" w:hAnsi="仿宋" w:eastAsia="仿宋" w:cs="宋体"/>
          <w:snapToGrid w:val="0"/>
          <w:kern w:val="0"/>
          <w:szCs w:val="21"/>
          <w:lang w:val="zh-CN"/>
        </w:rPr>
        <w:t>磋商保证金</w:t>
      </w:r>
      <w:r>
        <w:tab/>
      </w:r>
      <w:r>
        <w:fldChar w:fldCharType="begin"/>
      </w:r>
      <w:r>
        <w:instrText xml:space="preserve"> PAGEREF _Toc30915 \h </w:instrText>
      </w:r>
      <w:r>
        <w:fldChar w:fldCharType="separate"/>
      </w:r>
      <w:r>
        <w:t>13</w:t>
      </w:r>
      <w:r>
        <w:fldChar w:fldCharType="end"/>
      </w:r>
      <w:r>
        <w:rPr>
          <w:rFonts w:hint="eastAsia" w:ascii="仿宋" w:hAnsi="仿宋" w:eastAsia="仿宋" w:cs="宋体"/>
          <w:color w:val="auto"/>
          <w:szCs w:val="21"/>
        </w:rPr>
        <w:fldChar w:fldCharType="end"/>
      </w:r>
    </w:p>
    <w:p w14:paraId="64BCB59C">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_Toc21617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17、 </w:t>
      </w:r>
      <w:r>
        <w:rPr>
          <w:rFonts w:hint="eastAsia" w:ascii="仿宋" w:hAnsi="仿宋" w:eastAsia="仿宋" w:cs="宋体"/>
          <w:snapToGrid w:val="0"/>
          <w:kern w:val="0"/>
          <w:szCs w:val="21"/>
          <w:lang w:val="zh-CN"/>
        </w:rPr>
        <w:t>磋商有效期</w:t>
      </w:r>
      <w:r>
        <w:tab/>
      </w:r>
      <w:r>
        <w:fldChar w:fldCharType="begin"/>
      </w:r>
      <w:r>
        <w:instrText xml:space="preserve"> PAGEREF _Toc21617 \h </w:instrText>
      </w:r>
      <w:r>
        <w:fldChar w:fldCharType="separate"/>
      </w:r>
      <w:r>
        <w:t>13</w:t>
      </w:r>
      <w:r>
        <w:fldChar w:fldCharType="end"/>
      </w:r>
      <w:r>
        <w:rPr>
          <w:rFonts w:hint="eastAsia" w:ascii="仿宋" w:hAnsi="仿宋" w:eastAsia="仿宋" w:cs="宋体"/>
          <w:color w:val="auto"/>
          <w:szCs w:val="21"/>
        </w:rPr>
        <w:fldChar w:fldCharType="end"/>
      </w:r>
    </w:p>
    <w:p w14:paraId="6E588A76">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_Toc11060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18、 </w:t>
      </w:r>
      <w:r>
        <w:rPr>
          <w:rFonts w:hint="eastAsia" w:ascii="仿宋" w:hAnsi="仿宋" w:eastAsia="仿宋" w:cs="宋体"/>
          <w:snapToGrid w:val="0"/>
          <w:kern w:val="0"/>
          <w:szCs w:val="21"/>
          <w:lang w:val="zh-CN"/>
        </w:rPr>
        <w:t>竞争性磋商响应文件的装订、签署和数量</w:t>
      </w:r>
      <w:r>
        <w:tab/>
      </w:r>
      <w:r>
        <w:fldChar w:fldCharType="begin"/>
      </w:r>
      <w:r>
        <w:instrText xml:space="preserve"> PAGEREF _Toc11060 \h </w:instrText>
      </w:r>
      <w:r>
        <w:fldChar w:fldCharType="separate"/>
      </w:r>
      <w:r>
        <w:t>14</w:t>
      </w:r>
      <w:r>
        <w:fldChar w:fldCharType="end"/>
      </w:r>
      <w:r>
        <w:rPr>
          <w:rFonts w:hint="eastAsia" w:ascii="仿宋" w:hAnsi="仿宋" w:eastAsia="仿宋" w:cs="宋体"/>
          <w:color w:val="auto"/>
          <w:szCs w:val="21"/>
        </w:rPr>
        <w:fldChar w:fldCharType="end"/>
      </w:r>
    </w:p>
    <w:p w14:paraId="691D8093">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_Toc31986 </w:instrText>
      </w:r>
      <w:r>
        <w:rPr>
          <w:rFonts w:hint="eastAsia" w:ascii="仿宋" w:hAnsi="仿宋" w:eastAsia="仿宋" w:cs="宋体"/>
          <w:szCs w:val="21"/>
        </w:rPr>
        <w:fldChar w:fldCharType="separate"/>
      </w:r>
      <w:r>
        <w:rPr>
          <w:rFonts w:hint="default" w:ascii="仿宋" w:hAnsi="仿宋" w:eastAsia="仿宋" w:cs="宋体"/>
          <w:szCs w:val="21"/>
        </w:rPr>
        <w:t xml:space="preserve">四、 </w:t>
      </w:r>
      <w:r>
        <w:rPr>
          <w:rFonts w:hint="eastAsia" w:ascii="仿宋" w:hAnsi="仿宋" w:eastAsia="仿宋" w:cs="宋体"/>
          <w:szCs w:val="21"/>
        </w:rPr>
        <w:t>竞争性磋商响应文件的递交</w:t>
      </w:r>
      <w:r>
        <w:tab/>
      </w:r>
      <w:r>
        <w:fldChar w:fldCharType="begin"/>
      </w:r>
      <w:r>
        <w:instrText xml:space="preserve"> PAGEREF _Toc31986 \h </w:instrText>
      </w:r>
      <w:r>
        <w:fldChar w:fldCharType="separate"/>
      </w:r>
      <w:r>
        <w:t>14</w:t>
      </w:r>
      <w:r>
        <w:fldChar w:fldCharType="end"/>
      </w:r>
      <w:r>
        <w:rPr>
          <w:rFonts w:hint="eastAsia" w:ascii="仿宋" w:hAnsi="仿宋" w:eastAsia="仿宋" w:cs="宋体"/>
          <w:color w:val="auto"/>
          <w:szCs w:val="21"/>
        </w:rPr>
        <w:fldChar w:fldCharType="end"/>
      </w:r>
    </w:p>
    <w:p w14:paraId="56027923">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_Toc2903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19、 </w:t>
      </w:r>
      <w:r>
        <w:rPr>
          <w:rFonts w:hint="eastAsia" w:ascii="仿宋" w:hAnsi="仿宋" w:eastAsia="仿宋" w:cs="宋体"/>
          <w:szCs w:val="21"/>
        </w:rPr>
        <w:t>竞争性磋商响应文件</w:t>
      </w:r>
      <w:r>
        <w:rPr>
          <w:rFonts w:hint="eastAsia" w:ascii="仿宋" w:hAnsi="仿宋" w:eastAsia="仿宋" w:cs="宋体"/>
          <w:snapToGrid w:val="0"/>
          <w:kern w:val="0"/>
          <w:szCs w:val="21"/>
          <w:lang w:val="zh-CN"/>
        </w:rPr>
        <w:t>的密封和标记</w:t>
      </w:r>
      <w:r>
        <w:tab/>
      </w:r>
      <w:r>
        <w:fldChar w:fldCharType="begin"/>
      </w:r>
      <w:r>
        <w:instrText xml:space="preserve"> PAGEREF _Toc2903 \h </w:instrText>
      </w:r>
      <w:r>
        <w:fldChar w:fldCharType="separate"/>
      </w:r>
      <w:r>
        <w:t>14</w:t>
      </w:r>
      <w:r>
        <w:fldChar w:fldCharType="end"/>
      </w:r>
      <w:r>
        <w:rPr>
          <w:rFonts w:hint="eastAsia" w:ascii="仿宋" w:hAnsi="仿宋" w:eastAsia="仿宋" w:cs="宋体"/>
          <w:color w:val="auto"/>
          <w:szCs w:val="21"/>
        </w:rPr>
        <w:fldChar w:fldCharType="end"/>
      </w:r>
    </w:p>
    <w:p w14:paraId="161EF2D7">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_Toc1083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20、 </w:t>
      </w:r>
      <w:r>
        <w:rPr>
          <w:rFonts w:hint="eastAsia" w:ascii="仿宋" w:hAnsi="仿宋" w:eastAsia="仿宋" w:cs="宋体"/>
          <w:snapToGrid w:val="0"/>
          <w:kern w:val="0"/>
          <w:szCs w:val="21"/>
          <w:lang w:val="zh-CN"/>
        </w:rPr>
        <w:t>竞争性磋商响应文件的送达地点及截止时间</w:t>
      </w:r>
      <w:r>
        <w:tab/>
      </w:r>
      <w:r>
        <w:fldChar w:fldCharType="begin"/>
      </w:r>
      <w:r>
        <w:instrText xml:space="preserve"> PAGEREF _Toc1083 \h </w:instrText>
      </w:r>
      <w:r>
        <w:fldChar w:fldCharType="separate"/>
      </w:r>
      <w:r>
        <w:t>15</w:t>
      </w:r>
      <w:r>
        <w:fldChar w:fldCharType="end"/>
      </w:r>
      <w:r>
        <w:rPr>
          <w:rFonts w:hint="eastAsia" w:ascii="仿宋" w:hAnsi="仿宋" w:eastAsia="仿宋" w:cs="宋体"/>
          <w:color w:val="auto"/>
          <w:szCs w:val="21"/>
        </w:rPr>
        <w:fldChar w:fldCharType="end"/>
      </w:r>
    </w:p>
    <w:p w14:paraId="17255420">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_Toc24709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21、 </w:t>
      </w:r>
      <w:r>
        <w:rPr>
          <w:rFonts w:hint="eastAsia" w:ascii="仿宋" w:hAnsi="仿宋" w:eastAsia="仿宋" w:cs="宋体"/>
          <w:snapToGrid w:val="0"/>
          <w:kern w:val="0"/>
          <w:szCs w:val="21"/>
          <w:lang w:val="zh-CN"/>
        </w:rPr>
        <w:t>迟交的竞争性磋商响应文件</w:t>
      </w:r>
      <w:r>
        <w:tab/>
      </w:r>
      <w:r>
        <w:fldChar w:fldCharType="begin"/>
      </w:r>
      <w:r>
        <w:instrText xml:space="preserve"> PAGEREF _Toc24709 \h </w:instrText>
      </w:r>
      <w:r>
        <w:fldChar w:fldCharType="separate"/>
      </w:r>
      <w:r>
        <w:t>15</w:t>
      </w:r>
      <w:r>
        <w:fldChar w:fldCharType="end"/>
      </w:r>
      <w:r>
        <w:rPr>
          <w:rFonts w:hint="eastAsia" w:ascii="仿宋" w:hAnsi="仿宋" w:eastAsia="仿宋" w:cs="宋体"/>
          <w:color w:val="auto"/>
          <w:szCs w:val="21"/>
        </w:rPr>
        <w:fldChar w:fldCharType="end"/>
      </w:r>
    </w:p>
    <w:p w14:paraId="035AF920">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_Toc7474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22、 </w:t>
      </w:r>
      <w:r>
        <w:rPr>
          <w:rFonts w:hint="eastAsia" w:ascii="仿宋" w:hAnsi="仿宋" w:eastAsia="仿宋" w:cs="宋体"/>
          <w:snapToGrid w:val="0"/>
          <w:kern w:val="0"/>
          <w:szCs w:val="21"/>
          <w:lang w:val="zh-CN"/>
        </w:rPr>
        <w:t>竞争性磋商响应文件的补充、修改或者撤回</w:t>
      </w:r>
      <w:r>
        <w:tab/>
      </w:r>
      <w:r>
        <w:fldChar w:fldCharType="begin"/>
      </w:r>
      <w:r>
        <w:instrText xml:space="preserve"> PAGEREF _Toc7474 \h </w:instrText>
      </w:r>
      <w:r>
        <w:fldChar w:fldCharType="separate"/>
      </w:r>
      <w:r>
        <w:t>15</w:t>
      </w:r>
      <w:r>
        <w:fldChar w:fldCharType="end"/>
      </w:r>
      <w:r>
        <w:rPr>
          <w:rFonts w:hint="eastAsia" w:ascii="仿宋" w:hAnsi="仿宋" w:eastAsia="仿宋" w:cs="宋体"/>
          <w:color w:val="auto"/>
          <w:szCs w:val="21"/>
        </w:rPr>
        <w:fldChar w:fldCharType="end"/>
      </w:r>
    </w:p>
    <w:p w14:paraId="0F82D8A4">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_Toc16186 </w:instrText>
      </w:r>
      <w:r>
        <w:rPr>
          <w:rFonts w:hint="eastAsia" w:ascii="仿宋" w:hAnsi="仿宋" w:eastAsia="仿宋" w:cs="宋体"/>
          <w:szCs w:val="21"/>
        </w:rPr>
        <w:fldChar w:fldCharType="separate"/>
      </w:r>
      <w:r>
        <w:rPr>
          <w:rFonts w:hint="default" w:ascii="仿宋" w:hAnsi="仿宋" w:eastAsia="仿宋" w:cs="宋体"/>
          <w:szCs w:val="21"/>
        </w:rPr>
        <w:t xml:space="preserve">五、 </w:t>
      </w:r>
      <w:r>
        <w:rPr>
          <w:rFonts w:hint="eastAsia" w:ascii="仿宋" w:hAnsi="仿宋" w:eastAsia="仿宋" w:cs="宋体"/>
          <w:szCs w:val="21"/>
        </w:rPr>
        <w:t>磋商程序及步骤</w:t>
      </w:r>
      <w:r>
        <w:tab/>
      </w:r>
      <w:r>
        <w:fldChar w:fldCharType="begin"/>
      </w:r>
      <w:r>
        <w:instrText xml:space="preserve"> PAGEREF _Toc16186 \h </w:instrText>
      </w:r>
      <w:r>
        <w:fldChar w:fldCharType="separate"/>
      </w:r>
      <w:r>
        <w:t>15</w:t>
      </w:r>
      <w:r>
        <w:fldChar w:fldCharType="end"/>
      </w:r>
      <w:r>
        <w:rPr>
          <w:rFonts w:hint="eastAsia" w:ascii="仿宋" w:hAnsi="仿宋" w:eastAsia="仿宋" w:cs="宋体"/>
          <w:color w:val="auto"/>
          <w:szCs w:val="21"/>
        </w:rPr>
        <w:fldChar w:fldCharType="end"/>
      </w:r>
    </w:p>
    <w:p w14:paraId="23C41F9C">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_Toc10986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23、 </w:t>
      </w:r>
      <w:r>
        <w:rPr>
          <w:rFonts w:hint="eastAsia" w:ascii="仿宋" w:hAnsi="仿宋" w:eastAsia="仿宋" w:cs="宋体"/>
        </w:rPr>
        <w:t>竞争性磋商小组</w:t>
      </w:r>
      <w:r>
        <w:tab/>
      </w:r>
      <w:r>
        <w:fldChar w:fldCharType="begin"/>
      </w:r>
      <w:r>
        <w:instrText xml:space="preserve"> PAGEREF _Toc10986 \h </w:instrText>
      </w:r>
      <w:r>
        <w:fldChar w:fldCharType="separate"/>
      </w:r>
      <w:r>
        <w:t>15</w:t>
      </w:r>
      <w:r>
        <w:fldChar w:fldCharType="end"/>
      </w:r>
      <w:r>
        <w:rPr>
          <w:rFonts w:hint="eastAsia" w:ascii="仿宋" w:hAnsi="仿宋" w:eastAsia="仿宋" w:cs="宋体"/>
          <w:color w:val="auto"/>
          <w:szCs w:val="21"/>
        </w:rPr>
        <w:fldChar w:fldCharType="end"/>
      </w:r>
    </w:p>
    <w:p w14:paraId="7CA47D07">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_Toc9395 </w:instrText>
      </w:r>
      <w:r>
        <w:rPr>
          <w:rFonts w:hint="eastAsia" w:ascii="仿宋" w:hAnsi="仿宋" w:eastAsia="仿宋" w:cs="宋体"/>
          <w:szCs w:val="21"/>
        </w:rPr>
        <w:fldChar w:fldCharType="separate"/>
      </w:r>
      <w:r>
        <w:rPr>
          <w:rFonts w:hint="default" w:ascii="仿宋" w:hAnsi="仿宋" w:eastAsia="仿宋" w:cs="宋体"/>
          <w:snapToGrid w:val="0"/>
          <w:kern w:val="0"/>
          <w:szCs w:val="21"/>
          <w:lang w:val="zh-CN"/>
        </w:rPr>
        <w:t xml:space="preserve">24、 </w:t>
      </w:r>
      <w:r>
        <w:rPr>
          <w:rFonts w:hint="eastAsia" w:ascii="仿宋" w:hAnsi="仿宋" w:eastAsia="仿宋" w:cs="宋体"/>
        </w:rPr>
        <w:t>磋商代表</w:t>
      </w:r>
      <w:r>
        <w:tab/>
      </w:r>
      <w:r>
        <w:fldChar w:fldCharType="begin"/>
      </w:r>
      <w:r>
        <w:instrText xml:space="preserve"> PAGEREF _Toc9395 \h </w:instrText>
      </w:r>
      <w:r>
        <w:fldChar w:fldCharType="separate"/>
      </w:r>
      <w:r>
        <w:t>15</w:t>
      </w:r>
      <w:r>
        <w:fldChar w:fldCharType="end"/>
      </w:r>
      <w:r>
        <w:rPr>
          <w:rFonts w:hint="eastAsia" w:ascii="仿宋" w:hAnsi="仿宋" w:eastAsia="仿宋" w:cs="宋体"/>
          <w:color w:val="auto"/>
          <w:szCs w:val="21"/>
        </w:rPr>
        <w:fldChar w:fldCharType="end"/>
      </w:r>
    </w:p>
    <w:p w14:paraId="10277F21">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_Toc10806 </w:instrText>
      </w:r>
      <w:r>
        <w:rPr>
          <w:rFonts w:hint="eastAsia" w:ascii="仿宋" w:hAnsi="仿宋" w:eastAsia="仿宋" w:cs="宋体"/>
          <w:szCs w:val="21"/>
        </w:rPr>
        <w:fldChar w:fldCharType="separate"/>
      </w:r>
      <w:r>
        <w:rPr>
          <w:rFonts w:hint="default" w:ascii="仿宋" w:hAnsi="仿宋" w:eastAsia="仿宋" w:cs="宋体"/>
          <w:szCs w:val="21"/>
        </w:rPr>
        <w:t xml:space="preserve">六、 </w:t>
      </w:r>
      <w:r>
        <w:rPr>
          <w:rFonts w:hint="eastAsia" w:ascii="仿宋" w:hAnsi="仿宋" w:eastAsia="仿宋" w:cs="宋体"/>
          <w:szCs w:val="21"/>
        </w:rPr>
        <w:t>成交与签订合同</w:t>
      </w:r>
      <w:r>
        <w:tab/>
      </w:r>
      <w:r>
        <w:fldChar w:fldCharType="begin"/>
      </w:r>
      <w:r>
        <w:instrText xml:space="preserve"> PAGEREF _Toc10806 \h </w:instrText>
      </w:r>
      <w:r>
        <w:fldChar w:fldCharType="separate"/>
      </w:r>
      <w:r>
        <w:t>17</w:t>
      </w:r>
      <w:r>
        <w:fldChar w:fldCharType="end"/>
      </w:r>
      <w:r>
        <w:rPr>
          <w:rFonts w:hint="eastAsia" w:ascii="仿宋" w:hAnsi="仿宋" w:eastAsia="仿宋" w:cs="宋体"/>
          <w:color w:val="auto"/>
          <w:szCs w:val="21"/>
        </w:rPr>
        <w:fldChar w:fldCharType="end"/>
      </w:r>
    </w:p>
    <w:p w14:paraId="6AB1C103">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_Toc1223 </w:instrText>
      </w:r>
      <w:r>
        <w:rPr>
          <w:rFonts w:hint="eastAsia" w:ascii="仿宋" w:hAnsi="仿宋" w:eastAsia="仿宋" w:cs="宋体"/>
          <w:szCs w:val="21"/>
        </w:rPr>
        <w:fldChar w:fldCharType="separate"/>
      </w:r>
      <w:r>
        <w:rPr>
          <w:rFonts w:hint="eastAsia" w:ascii="仿宋" w:hAnsi="仿宋" w:eastAsia="仿宋" w:cs="宋体"/>
          <w:snapToGrid w:val="0"/>
          <w:kern w:val="0"/>
          <w:szCs w:val="21"/>
          <w:lang w:val="zh-CN"/>
        </w:rPr>
        <w:t>七、</w:t>
      </w:r>
      <w:r>
        <w:rPr>
          <w:rFonts w:hint="eastAsia" w:ascii="仿宋" w:hAnsi="仿宋" w:eastAsia="仿宋" w:cs="宋体"/>
          <w:snapToGrid w:val="0"/>
          <w:kern w:val="0"/>
          <w:szCs w:val="21"/>
        </w:rPr>
        <w:t>质疑投诉</w:t>
      </w:r>
      <w:r>
        <w:tab/>
      </w:r>
      <w:r>
        <w:fldChar w:fldCharType="begin"/>
      </w:r>
      <w:r>
        <w:instrText xml:space="preserve"> PAGEREF _Toc1223 \h </w:instrText>
      </w:r>
      <w:r>
        <w:fldChar w:fldCharType="separate"/>
      </w:r>
      <w:r>
        <w:t>17</w:t>
      </w:r>
      <w:r>
        <w:fldChar w:fldCharType="end"/>
      </w:r>
      <w:r>
        <w:rPr>
          <w:rFonts w:hint="eastAsia" w:ascii="仿宋" w:hAnsi="仿宋" w:eastAsia="仿宋" w:cs="宋体"/>
          <w:color w:val="auto"/>
          <w:szCs w:val="21"/>
        </w:rPr>
        <w:fldChar w:fldCharType="end"/>
      </w:r>
    </w:p>
    <w:p w14:paraId="1F98A75D">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_Toc10427 </w:instrText>
      </w:r>
      <w:r>
        <w:rPr>
          <w:rFonts w:hint="eastAsia" w:ascii="仿宋" w:hAnsi="仿宋" w:eastAsia="仿宋" w:cs="宋体"/>
          <w:szCs w:val="21"/>
        </w:rPr>
        <w:fldChar w:fldCharType="separate"/>
      </w:r>
      <w:r>
        <w:rPr>
          <w:rFonts w:hint="eastAsia" w:ascii="仿宋" w:hAnsi="仿宋" w:eastAsia="仿宋" w:cs="宋体"/>
          <w:snapToGrid w:val="0"/>
          <w:kern w:val="0"/>
          <w:szCs w:val="21"/>
        </w:rPr>
        <w:t>八、</w:t>
      </w:r>
      <w:r>
        <w:rPr>
          <w:rFonts w:hint="eastAsia" w:ascii="仿宋" w:hAnsi="仿宋" w:eastAsia="仿宋" w:cs="宋体"/>
          <w:snapToGrid w:val="0"/>
          <w:kern w:val="0"/>
          <w:szCs w:val="21"/>
          <w:lang w:val="zh-CN"/>
        </w:rPr>
        <w:t>其他要求</w:t>
      </w:r>
      <w:r>
        <w:tab/>
      </w:r>
      <w:r>
        <w:fldChar w:fldCharType="begin"/>
      </w:r>
      <w:r>
        <w:instrText xml:space="preserve"> PAGEREF _Toc10427 \h </w:instrText>
      </w:r>
      <w:r>
        <w:fldChar w:fldCharType="separate"/>
      </w:r>
      <w:r>
        <w:t>18</w:t>
      </w:r>
      <w:r>
        <w:fldChar w:fldCharType="end"/>
      </w:r>
      <w:r>
        <w:rPr>
          <w:rFonts w:hint="eastAsia" w:ascii="仿宋" w:hAnsi="仿宋" w:eastAsia="仿宋" w:cs="宋体"/>
          <w:color w:val="auto"/>
          <w:szCs w:val="21"/>
        </w:rPr>
        <w:fldChar w:fldCharType="end"/>
      </w:r>
    </w:p>
    <w:p w14:paraId="5877287B">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_Toc794 </w:instrText>
      </w:r>
      <w:r>
        <w:rPr>
          <w:rFonts w:hint="eastAsia" w:ascii="仿宋" w:hAnsi="仿宋" w:eastAsia="仿宋" w:cs="宋体"/>
          <w:szCs w:val="21"/>
        </w:rPr>
        <w:fldChar w:fldCharType="separate"/>
      </w:r>
      <w:r>
        <w:rPr>
          <w:rFonts w:hint="eastAsia" w:ascii="仿宋" w:hAnsi="仿宋" w:eastAsia="仿宋" w:cs="宋体"/>
          <w:snapToGrid w:val="0"/>
          <w:kern w:val="0"/>
          <w:szCs w:val="21"/>
        </w:rPr>
        <w:t>九</w:t>
      </w:r>
      <w:r>
        <w:rPr>
          <w:rFonts w:hint="eastAsia" w:ascii="仿宋" w:hAnsi="仿宋" w:eastAsia="仿宋" w:cs="宋体"/>
          <w:snapToGrid w:val="0"/>
          <w:kern w:val="0"/>
          <w:szCs w:val="21"/>
          <w:lang w:val="zh-CN"/>
        </w:rPr>
        <w:t>、适用法律</w:t>
      </w:r>
      <w:r>
        <w:tab/>
      </w:r>
      <w:r>
        <w:fldChar w:fldCharType="begin"/>
      </w:r>
      <w:r>
        <w:instrText xml:space="preserve"> PAGEREF _Toc794 \h </w:instrText>
      </w:r>
      <w:r>
        <w:fldChar w:fldCharType="separate"/>
      </w:r>
      <w:r>
        <w:t>18</w:t>
      </w:r>
      <w:r>
        <w:fldChar w:fldCharType="end"/>
      </w:r>
      <w:r>
        <w:rPr>
          <w:rFonts w:hint="eastAsia" w:ascii="仿宋" w:hAnsi="仿宋" w:eastAsia="仿宋" w:cs="宋体"/>
          <w:color w:val="auto"/>
          <w:szCs w:val="21"/>
        </w:rPr>
        <w:fldChar w:fldCharType="end"/>
      </w:r>
    </w:p>
    <w:p w14:paraId="249E1BF0">
      <w:pPr>
        <w:pStyle w:val="14"/>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_Toc7009 </w:instrText>
      </w:r>
      <w:r>
        <w:rPr>
          <w:rFonts w:hint="eastAsia" w:ascii="仿宋" w:hAnsi="仿宋" w:eastAsia="仿宋" w:cs="宋体"/>
          <w:szCs w:val="21"/>
        </w:rPr>
        <w:fldChar w:fldCharType="separate"/>
      </w:r>
      <w:r>
        <w:rPr>
          <w:rFonts w:hint="default" w:ascii="仿宋" w:hAnsi="仿宋" w:eastAsia="仿宋" w:cs="宋体"/>
          <w:szCs w:val="36"/>
        </w:rPr>
        <w:t xml:space="preserve">第三章 </w:t>
      </w:r>
      <w:r>
        <w:rPr>
          <w:rFonts w:hint="eastAsia" w:ascii="仿宋" w:hAnsi="仿宋" w:eastAsia="仿宋" w:cs="宋体"/>
          <w:szCs w:val="36"/>
        </w:rPr>
        <w:t>采购需求</w:t>
      </w:r>
      <w:r>
        <w:tab/>
      </w:r>
      <w:r>
        <w:fldChar w:fldCharType="begin"/>
      </w:r>
      <w:r>
        <w:instrText xml:space="preserve"> PAGEREF _Toc7009 \h </w:instrText>
      </w:r>
      <w:r>
        <w:fldChar w:fldCharType="separate"/>
      </w:r>
      <w:r>
        <w:t>19</w:t>
      </w:r>
      <w:r>
        <w:fldChar w:fldCharType="end"/>
      </w:r>
      <w:r>
        <w:rPr>
          <w:rFonts w:hint="eastAsia" w:ascii="仿宋" w:hAnsi="仿宋" w:eastAsia="仿宋" w:cs="宋体"/>
          <w:color w:val="auto"/>
          <w:szCs w:val="21"/>
        </w:rPr>
        <w:fldChar w:fldCharType="end"/>
      </w:r>
    </w:p>
    <w:p w14:paraId="512DFC7A">
      <w:pPr>
        <w:pStyle w:val="14"/>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_Toc22998 </w:instrText>
      </w:r>
      <w:r>
        <w:rPr>
          <w:rFonts w:hint="eastAsia" w:ascii="仿宋" w:hAnsi="仿宋" w:eastAsia="仿宋" w:cs="宋体"/>
          <w:szCs w:val="21"/>
        </w:rPr>
        <w:fldChar w:fldCharType="separate"/>
      </w:r>
      <w:r>
        <w:rPr>
          <w:rFonts w:hint="eastAsia" w:ascii="仿宋" w:hAnsi="仿宋" w:eastAsia="仿宋"/>
        </w:rPr>
        <w:t>第四章</w:t>
      </w:r>
      <w:r>
        <w:rPr>
          <w:rFonts w:hint="eastAsia" w:ascii="仿宋" w:hAnsi="仿宋" w:eastAsia="仿宋"/>
          <w:lang w:val="en-US" w:eastAsia="zh-CN"/>
        </w:rPr>
        <w:t xml:space="preserve"> </w:t>
      </w:r>
      <w:r>
        <w:rPr>
          <w:rFonts w:hint="eastAsia" w:ascii="仿宋" w:hAnsi="仿宋" w:eastAsia="仿宋"/>
        </w:rPr>
        <w:t>评分办法</w:t>
      </w:r>
      <w:r>
        <w:tab/>
      </w:r>
      <w:r>
        <w:fldChar w:fldCharType="begin"/>
      </w:r>
      <w:r>
        <w:instrText xml:space="preserve"> PAGEREF _Toc22998 \h </w:instrText>
      </w:r>
      <w:r>
        <w:fldChar w:fldCharType="separate"/>
      </w:r>
      <w:r>
        <w:t>22</w:t>
      </w:r>
      <w:r>
        <w:fldChar w:fldCharType="end"/>
      </w:r>
      <w:r>
        <w:rPr>
          <w:rFonts w:hint="eastAsia" w:ascii="仿宋" w:hAnsi="仿宋" w:eastAsia="仿宋" w:cs="宋体"/>
          <w:color w:val="auto"/>
          <w:szCs w:val="21"/>
        </w:rPr>
        <w:fldChar w:fldCharType="end"/>
      </w:r>
    </w:p>
    <w:p w14:paraId="635A61E4">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_Toc22608 </w:instrText>
      </w:r>
      <w:r>
        <w:rPr>
          <w:rFonts w:hint="eastAsia" w:ascii="仿宋" w:hAnsi="仿宋" w:eastAsia="仿宋" w:cs="宋体"/>
          <w:szCs w:val="21"/>
        </w:rPr>
        <w:fldChar w:fldCharType="separate"/>
      </w:r>
      <w:r>
        <w:rPr>
          <w:rFonts w:hint="eastAsia" w:ascii="仿宋" w:hAnsi="仿宋" w:eastAsia="仿宋" w:cs="仿宋"/>
          <w:szCs w:val="21"/>
        </w:rPr>
        <w:t>评定办法前附表</w:t>
      </w:r>
      <w:r>
        <w:tab/>
      </w:r>
      <w:r>
        <w:fldChar w:fldCharType="begin"/>
      </w:r>
      <w:r>
        <w:instrText xml:space="preserve"> PAGEREF _Toc22608 \h </w:instrText>
      </w:r>
      <w:r>
        <w:fldChar w:fldCharType="separate"/>
      </w:r>
      <w:r>
        <w:t>22</w:t>
      </w:r>
      <w:r>
        <w:fldChar w:fldCharType="end"/>
      </w:r>
      <w:r>
        <w:rPr>
          <w:rFonts w:hint="eastAsia" w:ascii="仿宋" w:hAnsi="仿宋" w:eastAsia="仿宋" w:cs="宋体"/>
          <w:color w:val="auto"/>
          <w:szCs w:val="21"/>
        </w:rPr>
        <w:fldChar w:fldCharType="end"/>
      </w:r>
    </w:p>
    <w:p w14:paraId="387622E6">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_Toc11974 </w:instrText>
      </w:r>
      <w:r>
        <w:rPr>
          <w:rFonts w:hint="eastAsia" w:ascii="仿宋" w:hAnsi="仿宋" w:eastAsia="仿宋" w:cs="宋体"/>
          <w:szCs w:val="21"/>
        </w:rPr>
        <w:fldChar w:fldCharType="separate"/>
      </w:r>
      <w:r>
        <w:rPr>
          <w:rFonts w:hint="eastAsia" w:ascii="仿宋" w:hAnsi="仿宋" w:eastAsia="仿宋" w:cs="仿宋"/>
          <w:szCs w:val="21"/>
        </w:rPr>
        <w:t>计算办法</w:t>
      </w:r>
      <w:r>
        <w:tab/>
      </w:r>
      <w:r>
        <w:fldChar w:fldCharType="begin"/>
      </w:r>
      <w:r>
        <w:instrText xml:space="preserve"> PAGEREF _Toc11974 \h </w:instrText>
      </w:r>
      <w:r>
        <w:fldChar w:fldCharType="separate"/>
      </w:r>
      <w:r>
        <w:t>24</w:t>
      </w:r>
      <w:r>
        <w:fldChar w:fldCharType="end"/>
      </w:r>
      <w:r>
        <w:rPr>
          <w:rFonts w:hint="eastAsia" w:ascii="仿宋" w:hAnsi="仿宋" w:eastAsia="仿宋" w:cs="宋体"/>
          <w:color w:val="auto"/>
          <w:szCs w:val="21"/>
        </w:rPr>
        <w:fldChar w:fldCharType="end"/>
      </w:r>
    </w:p>
    <w:p w14:paraId="496AA13A">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_Toc30564 </w:instrText>
      </w:r>
      <w:r>
        <w:rPr>
          <w:rFonts w:hint="eastAsia" w:ascii="仿宋" w:hAnsi="仿宋" w:eastAsia="仿宋" w:cs="宋体"/>
          <w:szCs w:val="21"/>
        </w:rPr>
        <w:fldChar w:fldCharType="separate"/>
      </w:r>
      <w:r>
        <w:rPr>
          <w:rFonts w:hint="eastAsia" w:ascii="仿宋" w:hAnsi="仿宋" w:eastAsia="仿宋" w:cs="仿宋"/>
          <w:szCs w:val="21"/>
        </w:rPr>
        <w:t>评分细则</w:t>
      </w:r>
      <w:r>
        <w:tab/>
      </w:r>
      <w:r>
        <w:fldChar w:fldCharType="begin"/>
      </w:r>
      <w:r>
        <w:instrText xml:space="preserve"> PAGEREF _Toc30564 \h </w:instrText>
      </w:r>
      <w:r>
        <w:fldChar w:fldCharType="separate"/>
      </w:r>
      <w:r>
        <w:t>25</w:t>
      </w:r>
      <w:r>
        <w:fldChar w:fldCharType="end"/>
      </w:r>
      <w:r>
        <w:rPr>
          <w:rFonts w:hint="eastAsia" w:ascii="仿宋" w:hAnsi="仿宋" w:eastAsia="仿宋" w:cs="宋体"/>
          <w:color w:val="auto"/>
          <w:szCs w:val="21"/>
        </w:rPr>
        <w:fldChar w:fldCharType="end"/>
      </w:r>
    </w:p>
    <w:p w14:paraId="5C0BAEA6">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_Toc13429 </w:instrText>
      </w:r>
      <w:r>
        <w:rPr>
          <w:rFonts w:hint="eastAsia" w:ascii="仿宋" w:hAnsi="仿宋" w:eastAsia="仿宋" w:cs="宋体"/>
          <w:szCs w:val="21"/>
        </w:rPr>
        <w:fldChar w:fldCharType="separate"/>
      </w:r>
      <w:r>
        <w:rPr>
          <w:rFonts w:hint="eastAsia" w:ascii="仿宋" w:hAnsi="仿宋" w:eastAsia="仿宋" w:cs="宋体"/>
          <w:szCs w:val="21"/>
        </w:rPr>
        <w:t>评定办法</w:t>
      </w:r>
      <w:r>
        <w:tab/>
      </w:r>
      <w:r>
        <w:fldChar w:fldCharType="begin"/>
      </w:r>
      <w:r>
        <w:instrText xml:space="preserve"> PAGEREF _Toc13429 \h </w:instrText>
      </w:r>
      <w:r>
        <w:fldChar w:fldCharType="separate"/>
      </w:r>
      <w:r>
        <w:t>28</w:t>
      </w:r>
      <w:r>
        <w:fldChar w:fldCharType="end"/>
      </w:r>
      <w:r>
        <w:rPr>
          <w:rFonts w:hint="eastAsia" w:ascii="仿宋" w:hAnsi="仿宋" w:eastAsia="仿宋" w:cs="宋体"/>
          <w:color w:val="auto"/>
          <w:szCs w:val="21"/>
        </w:rPr>
        <w:fldChar w:fldCharType="end"/>
      </w:r>
    </w:p>
    <w:p w14:paraId="7DB84960">
      <w:pPr>
        <w:pStyle w:val="14"/>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_Toc1972 </w:instrText>
      </w:r>
      <w:r>
        <w:rPr>
          <w:rFonts w:hint="eastAsia" w:ascii="仿宋" w:hAnsi="仿宋" w:eastAsia="仿宋" w:cs="宋体"/>
          <w:szCs w:val="21"/>
        </w:rPr>
        <w:fldChar w:fldCharType="separate"/>
      </w:r>
      <w:r>
        <w:rPr>
          <w:rFonts w:hint="eastAsia" w:ascii="仿宋" w:hAnsi="仿宋" w:eastAsia="仿宋" w:cs="宋体"/>
          <w:szCs w:val="36"/>
        </w:rPr>
        <w:t>第五章 合同书</w:t>
      </w:r>
      <w:r>
        <w:tab/>
      </w:r>
      <w:r>
        <w:fldChar w:fldCharType="begin"/>
      </w:r>
      <w:r>
        <w:instrText xml:space="preserve"> PAGEREF _Toc1972 \h </w:instrText>
      </w:r>
      <w:r>
        <w:fldChar w:fldCharType="separate"/>
      </w:r>
      <w:r>
        <w:t>29</w:t>
      </w:r>
      <w:r>
        <w:fldChar w:fldCharType="end"/>
      </w:r>
      <w:r>
        <w:rPr>
          <w:rFonts w:hint="eastAsia" w:ascii="仿宋" w:hAnsi="仿宋" w:eastAsia="仿宋" w:cs="宋体"/>
          <w:color w:val="auto"/>
          <w:szCs w:val="21"/>
        </w:rPr>
        <w:fldChar w:fldCharType="end"/>
      </w:r>
    </w:p>
    <w:p w14:paraId="34C43B64">
      <w:pPr>
        <w:pStyle w:val="14"/>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_Toc16657 </w:instrText>
      </w:r>
      <w:r>
        <w:rPr>
          <w:rFonts w:hint="eastAsia" w:ascii="仿宋" w:hAnsi="仿宋" w:eastAsia="仿宋" w:cs="宋体"/>
          <w:szCs w:val="21"/>
        </w:rPr>
        <w:fldChar w:fldCharType="separate"/>
      </w:r>
      <w:r>
        <w:rPr>
          <w:rFonts w:hint="eastAsia" w:ascii="仿宋" w:hAnsi="仿宋" w:eastAsia="仿宋" w:cs="宋体"/>
          <w:szCs w:val="36"/>
        </w:rPr>
        <w:t>第六章 竞争性磋商响应文件格式</w:t>
      </w:r>
      <w:r>
        <w:tab/>
      </w:r>
      <w:r>
        <w:fldChar w:fldCharType="begin"/>
      </w:r>
      <w:r>
        <w:instrText xml:space="preserve"> PAGEREF _Toc16657 \h </w:instrText>
      </w:r>
      <w:r>
        <w:fldChar w:fldCharType="separate"/>
      </w:r>
      <w:r>
        <w:t>32</w:t>
      </w:r>
      <w:r>
        <w:fldChar w:fldCharType="end"/>
      </w:r>
      <w:r>
        <w:rPr>
          <w:rFonts w:hint="eastAsia" w:ascii="仿宋" w:hAnsi="仿宋" w:eastAsia="仿宋" w:cs="宋体"/>
          <w:color w:val="auto"/>
          <w:szCs w:val="21"/>
        </w:rPr>
        <w:fldChar w:fldCharType="end"/>
      </w:r>
    </w:p>
    <w:p w14:paraId="20300DA0">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_Toc17500 </w:instrText>
      </w:r>
      <w:r>
        <w:rPr>
          <w:rFonts w:hint="eastAsia" w:ascii="仿宋" w:hAnsi="仿宋" w:eastAsia="仿宋" w:cs="宋体"/>
          <w:szCs w:val="21"/>
        </w:rPr>
        <w:fldChar w:fldCharType="separate"/>
      </w:r>
      <w:r>
        <w:rPr>
          <w:rFonts w:hint="eastAsia" w:ascii="仿宋" w:hAnsi="仿宋" w:eastAsia="仿宋" w:cs="宋体"/>
          <w:bCs/>
          <w:lang w:val="zh-CN"/>
        </w:rPr>
        <w:t>响应文件目录</w:t>
      </w:r>
      <w:r>
        <w:tab/>
      </w:r>
      <w:r>
        <w:fldChar w:fldCharType="begin"/>
      </w:r>
      <w:r>
        <w:instrText xml:space="preserve"> PAGEREF _Toc17500 \h </w:instrText>
      </w:r>
      <w:r>
        <w:fldChar w:fldCharType="separate"/>
      </w:r>
      <w:r>
        <w:t>33</w:t>
      </w:r>
      <w:r>
        <w:fldChar w:fldCharType="end"/>
      </w:r>
      <w:r>
        <w:rPr>
          <w:rFonts w:hint="eastAsia" w:ascii="仿宋" w:hAnsi="仿宋" w:eastAsia="仿宋" w:cs="宋体"/>
          <w:color w:val="auto"/>
          <w:szCs w:val="21"/>
        </w:rPr>
        <w:fldChar w:fldCharType="end"/>
      </w:r>
    </w:p>
    <w:p w14:paraId="4A58E247">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_Toc4680 </w:instrText>
      </w:r>
      <w:r>
        <w:rPr>
          <w:rFonts w:hint="eastAsia" w:ascii="仿宋" w:hAnsi="仿宋" w:eastAsia="仿宋" w:cs="宋体"/>
          <w:szCs w:val="21"/>
        </w:rPr>
        <w:fldChar w:fldCharType="separate"/>
      </w:r>
      <w:r>
        <w:rPr>
          <w:rFonts w:hint="eastAsia" w:ascii="仿宋" w:hAnsi="仿宋" w:eastAsia="仿宋" w:cs="宋体"/>
          <w:bCs/>
          <w:lang w:val="zh-CN"/>
        </w:rPr>
        <w:t>响应文件导读表</w:t>
      </w:r>
      <w:r>
        <w:tab/>
      </w:r>
      <w:r>
        <w:fldChar w:fldCharType="begin"/>
      </w:r>
      <w:r>
        <w:instrText xml:space="preserve"> PAGEREF _Toc4680 \h </w:instrText>
      </w:r>
      <w:r>
        <w:fldChar w:fldCharType="separate"/>
      </w:r>
      <w:r>
        <w:t>34</w:t>
      </w:r>
      <w:r>
        <w:fldChar w:fldCharType="end"/>
      </w:r>
      <w:r>
        <w:rPr>
          <w:rFonts w:hint="eastAsia" w:ascii="仿宋" w:hAnsi="仿宋" w:eastAsia="仿宋" w:cs="宋体"/>
          <w:color w:val="auto"/>
          <w:szCs w:val="21"/>
        </w:rPr>
        <w:fldChar w:fldCharType="end"/>
      </w:r>
    </w:p>
    <w:p w14:paraId="6AF86884">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_Toc12106 </w:instrText>
      </w:r>
      <w:r>
        <w:rPr>
          <w:rFonts w:hint="eastAsia" w:ascii="仿宋" w:hAnsi="仿宋" w:eastAsia="仿宋" w:cs="宋体"/>
          <w:szCs w:val="21"/>
        </w:rPr>
        <w:fldChar w:fldCharType="separate"/>
      </w:r>
      <w:r>
        <w:rPr>
          <w:rFonts w:hint="default" w:ascii="仿宋" w:hAnsi="仿宋" w:eastAsia="仿宋" w:cs="宋体"/>
          <w:bCs/>
          <w:szCs w:val="24"/>
        </w:rPr>
        <w:t xml:space="preserve">1. </w:t>
      </w:r>
      <w:r>
        <w:rPr>
          <w:rFonts w:hint="eastAsia" w:ascii="仿宋" w:hAnsi="仿宋" w:eastAsia="仿宋" w:cs="宋体"/>
          <w:bCs/>
          <w:szCs w:val="21"/>
        </w:rPr>
        <w:t>磋商书</w:t>
      </w:r>
      <w:r>
        <w:tab/>
      </w:r>
      <w:r>
        <w:fldChar w:fldCharType="begin"/>
      </w:r>
      <w:r>
        <w:instrText xml:space="preserve"> PAGEREF _Toc12106 \h </w:instrText>
      </w:r>
      <w:r>
        <w:fldChar w:fldCharType="separate"/>
      </w:r>
      <w:r>
        <w:t>35</w:t>
      </w:r>
      <w:r>
        <w:fldChar w:fldCharType="end"/>
      </w:r>
      <w:r>
        <w:rPr>
          <w:rFonts w:hint="eastAsia" w:ascii="仿宋" w:hAnsi="仿宋" w:eastAsia="仿宋" w:cs="宋体"/>
          <w:color w:val="auto"/>
          <w:szCs w:val="21"/>
        </w:rPr>
        <w:fldChar w:fldCharType="end"/>
      </w:r>
    </w:p>
    <w:p w14:paraId="30E033BE">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_Toc22882 </w:instrText>
      </w:r>
      <w:r>
        <w:rPr>
          <w:rFonts w:hint="eastAsia" w:ascii="仿宋" w:hAnsi="仿宋" w:eastAsia="仿宋" w:cs="宋体"/>
          <w:szCs w:val="21"/>
        </w:rPr>
        <w:fldChar w:fldCharType="separate"/>
      </w:r>
      <w:r>
        <w:rPr>
          <w:rFonts w:hint="default" w:ascii="仿宋" w:hAnsi="仿宋" w:eastAsia="仿宋" w:cs="宋体"/>
          <w:bCs/>
          <w:szCs w:val="24"/>
        </w:rPr>
        <w:t xml:space="preserve">2. </w:t>
      </w:r>
      <w:r>
        <w:rPr>
          <w:rFonts w:hint="eastAsia" w:ascii="仿宋" w:hAnsi="仿宋" w:eastAsia="仿宋" w:cs="宋体"/>
          <w:bCs/>
        </w:rPr>
        <w:t>报价一览表</w:t>
      </w:r>
      <w:r>
        <w:tab/>
      </w:r>
      <w:r>
        <w:fldChar w:fldCharType="begin"/>
      </w:r>
      <w:r>
        <w:instrText xml:space="preserve"> PAGEREF _Toc22882 \h </w:instrText>
      </w:r>
      <w:r>
        <w:fldChar w:fldCharType="separate"/>
      </w:r>
      <w:r>
        <w:t>37</w:t>
      </w:r>
      <w:r>
        <w:fldChar w:fldCharType="end"/>
      </w:r>
      <w:r>
        <w:rPr>
          <w:rFonts w:hint="eastAsia" w:ascii="仿宋" w:hAnsi="仿宋" w:eastAsia="仿宋" w:cs="宋体"/>
          <w:color w:val="auto"/>
          <w:szCs w:val="21"/>
        </w:rPr>
        <w:fldChar w:fldCharType="end"/>
      </w:r>
    </w:p>
    <w:p w14:paraId="53C6132C">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_Toc22389 </w:instrText>
      </w:r>
      <w:r>
        <w:rPr>
          <w:rFonts w:hint="eastAsia" w:ascii="仿宋" w:hAnsi="仿宋" w:eastAsia="仿宋" w:cs="宋体"/>
          <w:szCs w:val="21"/>
        </w:rPr>
        <w:fldChar w:fldCharType="separate"/>
      </w:r>
      <w:r>
        <w:rPr>
          <w:rFonts w:hint="default" w:ascii="仿宋" w:hAnsi="仿宋" w:eastAsia="仿宋" w:cs="宋体"/>
          <w:bCs/>
          <w:szCs w:val="24"/>
        </w:rPr>
        <w:t xml:space="preserve">3. </w:t>
      </w:r>
      <w:r>
        <w:rPr>
          <w:rFonts w:hint="eastAsia" w:ascii="仿宋" w:hAnsi="仿宋" w:eastAsia="仿宋" w:cs="宋体"/>
          <w:bCs/>
        </w:rPr>
        <w:t>法定代表人授权书</w:t>
      </w:r>
      <w:r>
        <w:tab/>
      </w:r>
      <w:r>
        <w:fldChar w:fldCharType="begin"/>
      </w:r>
      <w:r>
        <w:instrText xml:space="preserve"> PAGEREF _Toc22389 \h </w:instrText>
      </w:r>
      <w:r>
        <w:fldChar w:fldCharType="separate"/>
      </w:r>
      <w:r>
        <w:t>38</w:t>
      </w:r>
      <w:r>
        <w:fldChar w:fldCharType="end"/>
      </w:r>
      <w:r>
        <w:rPr>
          <w:rFonts w:hint="eastAsia" w:ascii="仿宋" w:hAnsi="仿宋" w:eastAsia="仿宋" w:cs="宋体"/>
          <w:color w:val="auto"/>
          <w:szCs w:val="21"/>
        </w:rPr>
        <w:fldChar w:fldCharType="end"/>
      </w:r>
    </w:p>
    <w:p w14:paraId="262BA990">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_Toc10521 </w:instrText>
      </w:r>
      <w:r>
        <w:rPr>
          <w:rFonts w:hint="eastAsia" w:ascii="仿宋" w:hAnsi="仿宋" w:eastAsia="仿宋" w:cs="宋体"/>
          <w:szCs w:val="21"/>
        </w:rPr>
        <w:fldChar w:fldCharType="separate"/>
      </w:r>
      <w:r>
        <w:rPr>
          <w:rFonts w:hint="default" w:ascii="仿宋" w:hAnsi="仿宋" w:eastAsia="仿宋" w:cs="宋体"/>
          <w:bCs/>
          <w:szCs w:val="24"/>
        </w:rPr>
        <w:t xml:space="preserve">4. </w:t>
      </w:r>
      <w:r>
        <w:rPr>
          <w:rFonts w:hint="eastAsia" w:ascii="仿宋" w:hAnsi="仿宋" w:eastAsia="仿宋" w:cs="宋体"/>
          <w:bCs/>
        </w:rPr>
        <w:t>法定代表人身份证明书</w:t>
      </w:r>
      <w:r>
        <w:tab/>
      </w:r>
      <w:r>
        <w:fldChar w:fldCharType="begin"/>
      </w:r>
      <w:r>
        <w:instrText xml:space="preserve"> PAGEREF _Toc10521 \h </w:instrText>
      </w:r>
      <w:r>
        <w:fldChar w:fldCharType="separate"/>
      </w:r>
      <w:r>
        <w:t>39</w:t>
      </w:r>
      <w:r>
        <w:fldChar w:fldCharType="end"/>
      </w:r>
      <w:r>
        <w:rPr>
          <w:rFonts w:hint="eastAsia" w:ascii="仿宋" w:hAnsi="仿宋" w:eastAsia="仿宋" w:cs="宋体"/>
          <w:color w:val="auto"/>
          <w:szCs w:val="21"/>
        </w:rPr>
        <w:fldChar w:fldCharType="end"/>
      </w:r>
    </w:p>
    <w:p w14:paraId="70FB544B">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_Toc19910 </w:instrText>
      </w:r>
      <w:r>
        <w:rPr>
          <w:rFonts w:hint="eastAsia" w:ascii="仿宋" w:hAnsi="仿宋" w:eastAsia="仿宋" w:cs="宋体"/>
          <w:szCs w:val="21"/>
        </w:rPr>
        <w:fldChar w:fldCharType="separate"/>
      </w:r>
      <w:r>
        <w:rPr>
          <w:rFonts w:hint="default" w:ascii="仿宋" w:hAnsi="仿宋" w:eastAsia="仿宋" w:cs="宋体"/>
          <w:szCs w:val="24"/>
        </w:rPr>
        <w:t xml:space="preserve">5. </w:t>
      </w:r>
      <w:r>
        <w:rPr>
          <w:rFonts w:hint="eastAsia" w:ascii="仿宋" w:hAnsi="仿宋" w:eastAsia="仿宋" w:cs="宋体"/>
          <w:bCs/>
        </w:rPr>
        <w:t>分项报价表</w:t>
      </w:r>
      <w:r>
        <w:tab/>
      </w:r>
      <w:r>
        <w:fldChar w:fldCharType="begin"/>
      </w:r>
      <w:r>
        <w:instrText xml:space="preserve"> PAGEREF _Toc19910 \h </w:instrText>
      </w:r>
      <w:r>
        <w:fldChar w:fldCharType="separate"/>
      </w:r>
      <w:r>
        <w:t>40</w:t>
      </w:r>
      <w:r>
        <w:fldChar w:fldCharType="end"/>
      </w:r>
      <w:r>
        <w:rPr>
          <w:rFonts w:hint="eastAsia" w:ascii="仿宋" w:hAnsi="仿宋" w:eastAsia="仿宋" w:cs="宋体"/>
          <w:color w:val="auto"/>
          <w:szCs w:val="21"/>
        </w:rPr>
        <w:fldChar w:fldCharType="end"/>
      </w:r>
    </w:p>
    <w:p w14:paraId="7255B070">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_Toc23400 </w:instrText>
      </w:r>
      <w:r>
        <w:rPr>
          <w:rFonts w:hint="eastAsia" w:ascii="仿宋" w:hAnsi="仿宋" w:eastAsia="仿宋" w:cs="宋体"/>
          <w:szCs w:val="21"/>
        </w:rPr>
        <w:fldChar w:fldCharType="separate"/>
      </w:r>
      <w:r>
        <w:rPr>
          <w:rFonts w:hint="default" w:ascii="仿宋" w:hAnsi="仿宋" w:eastAsia="仿宋" w:cs="宋体"/>
          <w:bCs/>
          <w:szCs w:val="24"/>
        </w:rPr>
        <w:t xml:space="preserve">6. </w:t>
      </w:r>
      <w:r>
        <w:rPr>
          <w:rFonts w:hint="eastAsia" w:ascii="仿宋" w:hAnsi="仿宋" w:eastAsia="仿宋" w:cs="宋体"/>
          <w:bCs/>
        </w:rPr>
        <w:t>响应范围以外的备品备件∕服务报价表</w:t>
      </w:r>
      <w:r>
        <w:tab/>
      </w:r>
      <w:r>
        <w:fldChar w:fldCharType="begin"/>
      </w:r>
      <w:r>
        <w:instrText xml:space="preserve"> PAGEREF _Toc23400 \h </w:instrText>
      </w:r>
      <w:r>
        <w:fldChar w:fldCharType="separate"/>
      </w:r>
      <w:r>
        <w:t>41</w:t>
      </w:r>
      <w:r>
        <w:fldChar w:fldCharType="end"/>
      </w:r>
      <w:r>
        <w:rPr>
          <w:rFonts w:hint="eastAsia" w:ascii="仿宋" w:hAnsi="仿宋" w:eastAsia="仿宋" w:cs="宋体"/>
          <w:color w:val="auto"/>
          <w:szCs w:val="21"/>
        </w:rPr>
        <w:fldChar w:fldCharType="end"/>
      </w:r>
    </w:p>
    <w:p w14:paraId="75C38683">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_Toc9779 </w:instrText>
      </w:r>
      <w:r>
        <w:rPr>
          <w:rFonts w:hint="eastAsia" w:ascii="仿宋" w:hAnsi="仿宋" w:eastAsia="仿宋" w:cs="宋体"/>
          <w:szCs w:val="21"/>
        </w:rPr>
        <w:fldChar w:fldCharType="separate"/>
      </w:r>
      <w:r>
        <w:rPr>
          <w:rFonts w:hint="default" w:ascii="仿宋" w:hAnsi="仿宋" w:eastAsia="仿宋" w:cs="宋体"/>
          <w:bCs/>
          <w:szCs w:val="24"/>
        </w:rPr>
        <w:t xml:space="preserve">7. </w:t>
      </w:r>
      <w:r>
        <w:rPr>
          <w:rFonts w:hint="eastAsia" w:ascii="仿宋" w:hAnsi="仿宋" w:eastAsia="仿宋" w:cs="宋体"/>
          <w:bCs/>
        </w:rPr>
        <w:t>偏离说明表</w:t>
      </w:r>
      <w:r>
        <w:tab/>
      </w:r>
      <w:r>
        <w:fldChar w:fldCharType="begin"/>
      </w:r>
      <w:r>
        <w:instrText xml:space="preserve"> PAGEREF _Toc9779 \h </w:instrText>
      </w:r>
      <w:r>
        <w:fldChar w:fldCharType="separate"/>
      </w:r>
      <w:r>
        <w:t>42</w:t>
      </w:r>
      <w:r>
        <w:fldChar w:fldCharType="end"/>
      </w:r>
      <w:r>
        <w:rPr>
          <w:rFonts w:hint="eastAsia" w:ascii="仿宋" w:hAnsi="仿宋" w:eastAsia="仿宋" w:cs="宋体"/>
          <w:color w:val="auto"/>
          <w:szCs w:val="21"/>
        </w:rPr>
        <w:fldChar w:fldCharType="end"/>
      </w:r>
    </w:p>
    <w:p w14:paraId="7A80602F">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_Toc30380 </w:instrText>
      </w:r>
      <w:r>
        <w:rPr>
          <w:rFonts w:hint="eastAsia" w:ascii="仿宋" w:hAnsi="仿宋" w:eastAsia="仿宋" w:cs="宋体"/>
          <w:szCs w:val="21"/>
        </w:rPr>
        <w:fldChar w:fldCharType="separate"/>
      </w:r>
      <w:r>
        <w:rPr>
          <w:rFonts w:hint="default" w:ascii="仿宋" w:hAnsi="仿宋" w:eastAsia="仿宋" w:cs="宋体"/>
          <w:bCs/>
          <w:szCs w:val="24"/>
        </w:rPr>
        <w:t xml:space="preserve">8. </w:t>
      </w:r>
      <w:r>
        <w:rPr>
          <w:rFonts w:hint="eastAsia" w:ascii="仿宋" w:hAnsi="仿宋" w:eastAsia="仿宋" w:cs="宋体"/>
          <w:bCs/>
        </w:rPr>
        <w:t>类似业绩一览表</w:t>
      </w:r>
      <w:r>
        <w:tab/>
      </w:r>
      <w:r>
        <w:fldChar w:fldCharType="begin"/>
      </w:r>
      <w:r>
        <w:instrText xml:space="preserve"> PAGEREF _Toc30380 \h </w:instrText>
      </w:r>
      <w:r>
        <w:fldChar w:fldCharType="separate"/>
      </w:r>
      <w:r>
        <w:t>43</w:t>
      </w:r>
      <w:r>
        <w:fldChar w:fldCharType="end"/>
      </w:r>
      <w:r>
        <w:rPr>
          <w:rFonts w:hint="eastAsia" w:ascii="仿宋" w:hAnsi="仿宋" w:eastAsia="仿宋" w:cs="宋体"/>
          <w:color w:val="auto"/>
          <w:szCs w:val="21"/>
        </w:rPr>
        <w:fldChar w:fldCharType="end"/>
      </w:r>
    </w:p>
    <w:p w14:paraId="09FAEF88">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_Toc3814 </w:instrText>
      </w:r>
      <w:r>
        <w:rPr>
          <w:rFonts w:hint="eastAsia" w:ascii="仿宋" w:hAnsi="仿宋" w:eastAsia="仿宋" w:cs="宋体"/>
          <w:szCs w:val="21"/>
        </w:rPr>
        <w:fldChar w:fldCharType="separate"/>
      </w:r>
      <w:r>
        <w:rPr>
          <w:rFonts w:hint="eastAsia" w:ascii="仿宋" w:hAnsi="仿宋" w:eastAsia="仿宋" w:cs="宋体"/>
          <w:bCs/>
        </w:rPr>
        <w:t>9.供应商的资格声明</w:t>
      </w:r>
      <w:r>
        <w:tab/>
      </w:r>
      <w:r>
        <w:fldChar w:fldCharType="begin"/>
      </w:r>
      <w:r>
        <w:instrText xml:space="preserve"> PAGEREF _Toc3814 \h </w:instrText>
      </w:r>
      <w:r>
        <w:fldChar w:fldCharType="separate"/>
      </w:r>
      <w:r>
        <w:t>44</w:t>
      </w:r>
      <w:r>
        <w:fldChar w:fldCharType="end"/>
      </w:r>
      <w:r>
        <w:rPr>
          <w:rFonts w:hint="eastAsia" w:ascii="仿宋" w:hAnsi="仿宋" w:eastAsia="仿宋" w:cs="宋体"/>
          <w:color w:val="auto"/>
          <w:szCs w:val="21"/>
        </w:rPr>
        <w:fldChar w:fldCharType="end"/>
      </w:r>
    </w:p>
    <w:p w14:paraId="7C80ECC1">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_Toc5306 </w:instrText>
      </w:r>
      <w:r>
        <w:rPr>
          <w:rFonts w:hint="eastAsia" w:ascii="仿宋" w:hAnsi="仿宋" w:eastAsia="仿宋" w:cs="宋体"/>
          <w:szCs w:val="21"/>
        </w:rPr>
        <w:fldChar w:fldCharType="separate"/>
      </w:r>
      <w:r>
        <w:rPr>
          <w:rFonts w:hint="eastAsia" w:ascii="仿宋" w:hAnsi="仿宋" w:eastAsia="仿宋" w:cs="宋体"/>
          <w:bCs/>
        </w:rPr>
        <w:t>1</w:t>
      </w:r>
      <w:r>
        <w:rPr>
          <w:rFonts w:ascii="仿宋" w:hAnsi="仿宋" w:eastAsia="仿宋" w:cs="宋体"/>
          <w:bCs/>
        </w:rPr>
        <w:t xml:space="preserve">0. </w:t>
      </w:r>
      <w:r>
        <w:rPr>
          <w:rFonts w:hint="eastAsia" w:ascii="仿宋" w:hAnsi="仿宋" w:eastAsia="仿宋" w:cs="宋体"/>
          <w:bCs/>
        </w:rPr>
        <w:t>资格证明文件</w:t>
      </w:r>
      <w:r>
        <w:tab/>
      </w:r>
      <w:r>
        <w:fldChar w:fldCharType="begin"/>
      </w:r>
      <w:r>
        <w:instrText xml:space="preserve"> PAGEREF _Toc5306 \h </w:instrText>
      </w:r>
      <w:r>
        <w:fldChar w:fldCharType="separate"/>
      </w:r>
      <w:r>
        <w:t>46</w:t>
      </w:r>
      <w:r>
        <w:fldChar w:fldCharType="end"/>
      </w:r>
      <w:r>
        <w:rPr>
          <w:rFonts w:hint="eastAsia" w:ascii="仿宋" w:hAnsi="仿宋" w:eastAsia="仿宋" w:cs="宋体"/>
          <w:color w:val="auto"/>
          <w:szCs w:val="21"/>
        </w:rPr>
        <w:fldChar w:fldCharType="end"/>
      </w:r>
    </w:p>
    <w:p w14:paraId="18EF7186">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_Toc5475 </w:instrText>
      </w:r>
      <w:r>
        <w:rPr>
          <w:rFonts w:hint="eastAsia" w:ascii="仿宋" w:hAnsi="仿宋" w:eastAsia="仿宋" w:cs="宋体"/>
          <w:szCs w:val="21"/>
        </w:rPr>
        <w:fldChar w:fldCharType="separate"/>
      </w:r>
      <w:r>
        <w:rPr>
          <w:rFonts w:hint="eastAsia" w:ascii="仿宋" w:hAnsi="仿宋" w:eastAsia="仿宋" w:cs="宋体"/>
          <w:bCs/>
        </w:rPr>
        <w:t>1</w:t>
      </w:r>
      <w:r>
        <w:rPr>
          <w:rFonts w:ascii="仿宋" w:hAnsi="仿宋" w:eastAsia="仿宋" w:cs="宋体"/>
          <w:bCs/>
        </w:rPr>
        <w:t xml:space="preserve">1. </w:t>
      </w:r>
      <w:r>
        <w:rPr>
          <w:rFonts w:hint="eastAsia" w:ascii="仿宋" w:hAnsi="仿宋" w:eastAsia="仿宋" w:cs="宋体"/>
          <w:bCs/>
        </w:rPr>
        <w:t>技术文件（格式自拟）</w:t>
      </w:r>
      <w:r>
        <w:tab/>
      </w:r>
      <w:r>
        <w:fldChar w:fldCharType="begin"/>
      </w:r>
      <w:r>
        <w:instrText xml:space="preserve"> PAGEREF _Toc5475 \h </w:instrText>
      </w:r>
      <w:r>
        <w:fldChar w:fldCharType="separate"/>
      </w:r>
      <w:r>
        <w:t>47</w:t>
      </w:r>
      <w:r>
        <w:fldChar w:fldCharType="end"/>
      </w:r>
      <w:r>
        <w:rPr>
          <w:rFonts w:hint="eastAsia" w:ascii="仿宋" w:hAnsi="仿宋" w:eastAsia="仿宋" w:cs="宋体"/>
          <w:color w:val="auto"/>
          <w:szCs w:val="21"/>
        </w:rPr>
        <w:fldChar w:fldCharType="end"/>
      </w:r>
    </w:p>
    <w:p w14:paraId="73919913">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_Toc9193 </w:instrText>
      </w:r>
      <w:r>
        <w:rPr>
          <w:rFonts w:hint="eastAsia" w:ascii="仿宋" w:hAnsi="仿宋" w:eastAsia="仿宋" w:cs="宋体"/>
          <w:szCs w:val="21"/>
        </w:rPr>
        <w:fldChar w:fldCharType="separate"/>
      </w:r>
      <w:r>
        <w:rPr>
          <w:rFonts w:hint="eastAsia" w:ascii="仿宋" w:hAnsi="仿宋" w:eastAsia="仿宋" w:cs="宋体"/>
          <w:bCs/>
        </w:rPr>
        <w:t>1</w:t>
      </w:r>
      <w:r>
        <w:rPr>
          <w:rFonts w:ascii="仿宋" w:hAnsi="仿宋" w:eastAsia="仿宋" w:cs="宋体"/>
          <w:bCs/>
        </w:rPr>
        <w:t xml:space="preserve">2. </w:t>
      </w:r>
      <w:r>
        <w:rPr>
          <w:rFonts w:hint="eastAsia" w:ascii="仿宋" w:hAnsi="仿宋" w:eastAsia="仿宋" w:cs="宋体"/>
          <w:bCs/>
        </w:rPr>
        <w:t>磋商供应商认为应该提交的其它文件（格式自拟，包括但不限于以下内容）</w:t>
      </w:r>
      <w:r>
        <w:tab/>
      </w:r>
      <w:r>
        <w:fldChar w:fldCharType="begin"/>
      </w:r>
      <w:r>
        <w:instrText xml:space="preserve"> PAGEREF _Toc9193 \h </w:instrText>
      </w:r>
      <w:r>
        <w:fldChar w:fldCharType="separate"/>
      </w:r>
      <w:r>
        <w:t>48</w:t>
      </w:r>
      <w:r>
        <w:fldChar w:fldCharType="end"/>
      </w:r>
      <w:r>
        <w:rPr>
          <w:rFonts w:hint="eastAsia" w:ascii="仿宋" w:hAnsi="仿宋" w:eastAsia="仿宋" w:cs="宋体"/>
          <w:color w:val="auto"/>
          <w:szCs w:val="21"/>
        </w:rPr>
        <w:fldChar w:fldCharType="end"/>
      </w:r>
    </w:p>
    <w:p w14:paraId="45E172D8">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_Toc12805 </w:instrText>
      </w:r>
      <w:r>
        <w:rPr>
          <w:rFonts w:hint="eastAsia" w:ascii="仿宋" w:hAnsi="仿宋" w:eastAsia="仿宋" w:cs="宋体"/>
          <w:szCs w:val="21"/>
        </w:rPr>
        <w:fldChar w:fldCharType="separate"/>
      </w:r>
      <w:r>
        <w:rPr>
          <w:rFonts w:ascii="仿宋" w:hAnsi="仿宋" w:eastAsia="仿宋" w:cs="宋体"/>
          <w:bCs/>
        </w:rPr>
        <w:t xml:space="preserve">13. </w:t>
      </w:r>
      <w:r>
        <w:rPr>
          <w:rFonts w:hint="eastAsia" w:ascii="仿宋" w:hAnsi="仿宋" w:eastAsia="仿宋" w:cs="宋体"/>
          <w:bCs/>
        </w:rPr>
        <w:t>中小企业声明函</w:t>
      </w:r>
      <w:r>
        <w:tab/>
      </w:r>
      <w:r>
        <w:fldChar w:fldCharType="begin"/>
      </w:r>
      <w:r>
        <w:instrText xml:space="preserve"> PAGEREF _Toc12805 \h </w:instrText>
      </w:r>
      <w:r>
        <w:fldChar w:fldCharType="separate"/>
      </w:r>
      <w:r>
        <w:t>49</w:t>
      </w:r>
      <w:r>
        <w:fldChar w:fldCharType="end"/>
      </w:r>
      <w:r>
        <w:rPr>
          <w:rFonts w:hint="eastAsia" w:ascii="仿宋" w:hAnsi="仿宋" w:eastAsia="仿宋" w:cs="宋体"/>
          <w:color w:val="auto"/>
          <w:szCs w:val="21"/>
        </w:rPr>
        <w:fldChar w:fldCharType="end"/>
      </w:r>
    </w:p>
    <w:p w14:paraId="3C52D10E">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_Toc22809 </w:instrText>
      </w:r>
      <w:r>
        <w:rPr>
          <w:rFonts w:hint="eastAsia" w:ascii="仿宋" w:hAnsi="仿宋" w:eastAsia="仿宋" w:cs="宋体"/>
          <w:szCs w:val="21"/>
        </w:rPr>
        <w:fldChar w:fldCharType="separate"/>
      </w:r>
      <w:r>
        <w:rPr>
          <w:rFonts w:ascii="仿宋" w:hAnsi="仿宋" w:eastAsia="仿宋" w:cs="宋体"/>
          <w:bCs/>
        </w:rPr>
        <w:t xml:space="preserve">14. </w:t>
      </w:r>
      <w:r>
        <w:rPr>
          <w:rFonts w:hint="eastAsia" w:ascii="仿宋" w:hAnsi="仿宋" w:eastAsia="仿宋" w:cs="宋体"/>
          <w:bCs/>
        </w:rPr>
        <w:t>残疾人福利性单位声明函</w:t>
      </w:r>
      <w:r>
        <w:tab/>
      </w:r>
      <w:r>
        <w:fldChar w:fldCharType="begin"/>
      </w:r>
      <w:r>
        <w:instrText xml:space="preserve"> PAGEREF _Toc22809 \h </w:instrText>
      </w:r>
      <w:r>
        <w:fldChar w:fldCharType="separate"/>
      </w:r>
      <w:r>
        <w:t>50</w:t>
      </w:r>
      <w:r>
        <w:fldChar w:fldCharType="end"/>
      </w:r>
      <w:r>
        <w:rPr>
          <w:rFonts w:hint="eastAsia" w:ascii="仿宋" w:hAnsi="仿宋" w:eastAsia="仿宋" w:cs="宋体"/>
          <w:color w:val="auto"/>
          <w:szCs w:val="21"/>
        </w:rPr>
        <w:fldChar w:fldCharType="end"/>
      </w:r>
    </w:p>
    <w:p w14:paraId="4C063C62">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_Toc13394 </w:instrText>
      </w:r>
      <w:r>
        <w:rPr>
          <w:rFonts w:hint="eastAsia" w:ascii="仿宋" w:hAnsi="仿宋" w:eastAsia="仿宋" w:cs="宋体"/>
          <w:szCs w:val="21"/>
        </w:rPr>
        <w:fldChar w:fldCharType="separate"/>
      </w:r>
      <w:r>
        <w:rPr>
          <w:rFonts w:ascii="仿宋" w:hAnsi="仿宋" w:eastAsia="仿宋" w:cs="宋体"/>
          <w:bCs/>
        </w:rPr>
        <w:t xml:space="preserve">15. </w:t>
      </w:r>
      <w:r>
        <w:rPr>
          <w:rFonts w:hint="eastAsia" w:ascii="仿宋" w:hAnsi="仿宋" w:eastAsia="仿宋" w:cs="宋体"/>
          <w:bCs/>
        </w:rPr>
        <w:t>无重大违法记录声明</w:t>
      </w:r>
      <w:r>
        <w:tab/>
      </w:r>
      <w:r>
        <w:fldChar w:fldCharType="begin"/>
      </w:r>
      <w:r>
        <w:instrText xml:space="preserve"> PAGEREF _Toc13394 \h </w:instrText>
      </w:r>
      <w:r>
        <w:fldChar w:fldCharType="separate"/>
      </w:r>
      <w:r>
        <w:t>51</w:t>
      </w:r>
      <w:r>
        <w:fldChar w:fldCharType="end"/>
      </w:r>
      <w:r>
        <w:rPr>
          <w:rFonts w:hint="eastAsia" w:ascii="仿宋" w:hAnsi="仿宋" w:eastAsia="仿宋" w:cs="宋体"/>
          <w:color w:val="auto"/>
          <w:szCs w:val="21"/>
        </w:rPr>
        <w:fldChar w:fldCharType="end"/>
      </w:r>
    </w:p>
    <w:p w14:paraId="20FEC35A">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_Toc9020 </w:instrText>
      </w:r>
      <w:r>
        <w:rPr>
          <w:rFonts w:hint="eastAsia" w:ascii="仿宋" w:hAnsi="仿宋" w:eastAsia="仿宋" w:cs="宋体"/>
          <w:szCs w:val="21"/>
        </w:rPr>
        <w:fldChar w:fldCharType="separate"/>
      </w:r>
      <w:r>
        <w:rPr>
          <w:rFonts w:ascii="仿宋" w:hAnsi="仿宋" w:eastAsia="仿宋" w:cs="宋体"/>
          <w:bCs/>
        </w:rPr>
        <w:t xml:space="preserve">16. </w:t>
      </w:r>
      <w:r>
        <w:rPr>
          <w:rFonts w:hint="eastAsia" w:ascii="仿宋" w:hAnsi="仿宋" w:eastAsia="仿宋" w:cs="宋体"/>
          <w:bCs/>
        </w:rPr>
        <w:t>声明函</w:t>
      </w:r>
      <w:r>
        <w:tab/>
      </w:r>
      <w:r>
        <w:fldChar w:fldCharType="begin"/>
      </w:r>
      <w:r>
        <w:instrText xml:space="preserve"> PAGEREF _Toc9020 \h </w:instrText>
      </w:r>
      <w:r>
        <w:fldChar w:fldCharType="separate"/>
      </w:r>
      <w:r>
        <w:t>52</w:t>
      </w:r>
      <w:r>
        <w:fldChar w:fldCharType="end"/>
      </w:r>
      <w:r>
        <w:rPr>
          <w:rFonts w:hint="eastAsia" w:ascii="仿宋" w:hAnsi="仿宋" w:eastAsia="仿宋" w:cs="宋体"/>
          <w:color w:val="auto"/>
          <w:szCs w:val="21"/>
        </w:rPr>
        <w:fldChar w:fldCharType="end"/>
      </w:r>
    </w:p>
    <w:p w14:paraId="318E4B2F">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_Toc16110 </w:instrText>
      </w:r>
      <w:r>
        <w:rPr>
          <w:rFonts w:hint="eastAsia" w:ascii="仿宋" w:hAnsi="仿宋" w:eastAsia="仿宋" w:cs="宋体"/>
          <w:szCs w:val="21"/>
        </w:rPr>
        <w:fldChar w:fldCharType="separate"/>
      </w:r>
      <w:r>
        <w:rPr>
          <w:rFonts w:ascii="仿宋" w:hAnsi="仿宋" w:eastAsia="仿宋" w:cs="宋体"/>
          <w:bCs/>
        </w:rPr>
        <w:t xml:space="preserve">17. </w:t>
      </w:r>
      <w:r>
        <w:rPr>
          <w:rFonts w:hint="eastAsia" w:ascii="仿宋" w:hAnsi="仿宋" w:eastAsia="仿宋" w:cs="宋体"/>
          <w:bCs/>
        </w:rPr>
        <w:t>信用信息查询结果</w:t>
      </w:r>
      <w:r>
        <w:tab/>
      </w:r>
      <w:r>
        <w:fldChar w:fldCharType="begin"/>
      </w:r>
      <w:r>
        <w:instrText xml:space="preserve"> PAGEREF _Toc16110 \h </w:instrText>
      </w:r>
      <w:r>
        <w:fldChar w:fldCharType="separate"/>
      </w:r>
      <w:r>
        <w:t>53</w:t>
      </w:r>
      <w:r>
        <w:fldChar w:fldCharType="end"/>
      </w:r>
      <w:r>
        <w:rPr>
          <w:rFonts w:hint="eastAsia" w:ascii="仿宋" w:hAnsi="仿宋" w:eastAsia="仿宋" w:cs="宋体"/>
          <w:color w:val="auto"/>
          <w:szCs w:val="21"/>
        </w:rPr>
        <w:fldChar w:fldCharType="end"/>
      </w:r>
    </w:p>
    <w:p w14:paraId="3853D308">
      <w:pPr>
        <w:pStyle w:val="16"/>
        <w:tabs>
          <w:tab w:val="right" w:leader="dot" w:pos="9072"/>
        </w:tabs>
      </w:pPr>
      <w:r>
        <w:rPr>
          <w:rFonts w:hint="eastAsia" w:ascii="仿宋" w:hAnsi="仿宋" w:eastAsia="仿宋" w:cs="宋体"/>
          <w:color w:val="auto"/>
          <w:szCs w:val="21"/>
        </w:rPr>
        <w:fldChar w:fldCharType="begin"/>
      </w:r>
      <w:r>
        <w:rPr>
          <w:rFonts w:hint="eastAsia" w:ascii="仿宋" w:hAnsi="仿宋" w:eastAsia="仿宋" w:cs="宋体"/>
          <w:szCs w:val="21"/>
        </w:rPr>
        <w:instrText xml:space="preserve"> HYPERLINK \l _Toc13301 </w:instrText>
      </w:r>
      <w:r>
        <w:rPr>
          <w:rFonts w:hint="eastAsia" w:ascii="仿宋" w:hAnsi="仿宋" w:eastAsia="仿宋" w:cs="宋体"/>
          <w:szCs w:val="21"/>
        </w:rPr>
        <w:fldChar w:fldCharType="separate"/>
      </w:r>
      <w:r>
        <w:rPr>
          <w:rFonts w:hint="eastAsia" w:ascii="仿宋" w:hAnsi="仿宋" w:eastAsia="仿宋" w:cs="仿宋"/>
          <w:bCs/>
          <w:lang w:val="en-US" w:eastAsia="zh-CN"/>
        </w:rPr>
        <w:t>附件：</w:t>
      </w:r>
      <w:r>
        <w:tab/>
      </w:r>
      <w:r>
        <w:fldChar w:fldCharType="begin"/>
      </w:r>
      <w:r>
        <w:instrText xml:space="preserve"> PAGEREF _Toc13301 \h </w:instrText>
      </w:r>
      <w:r>
        <w:fldChar w:fldCharType="separate"/>
      </w:r>
      <w:r>
        <w:t>54</w:t>
      </w:r>
      <w:r>
        <w:fldChar w:fldCharType="end"/>
      </w:r>
      <w:r>
        <w:rPr>
          <w:rFonts w:hint="eastAsia" w:ascii="仿宋" w:hAnsi="仿宋" w:eastAsia="仿宋" w:cs="宋体"/>
          <w:color w:val="auto"/>
          <w:szCs w:val="21"/>
        </w:rPr>
        <w:fldChar w:fldCharType="end"/>
      </w:r>
    </w:p>
    <w:p w14:paraId="4429EF6A">
      <w:pPr>
        <w:tabs>
          <w:tab w:val="left" w:pos="435"/>
        </w:tabs>
        <w:spacing w:line="360" w:lineRule="auto"/>
        <w:rPr>
          <w:rFonts w:ascii="仿宋" w:hAnsi="仿宋" w:eastAsia="仿宋" w:cs="宋体"/>
          <w:color w:val="auto"/>
          <w:szCs w:val="21"/>
        </w:rPr>
      </w:pPr>
      <w:r>
        <w:rPr>
          <w:rFonts w:hint="eastAsia" w:ascii="仿宋" w:hAnsi="仿宋" w:eastAsia="仿宋" w:cs="宋体"/>
          <w:color w:val="auto"/>
          <w:szCs w:val="21"/>
        </w:rPr>
        <w:fldChar w:fldCharType="end"/>
      </w:r>
      <w:r>
        <w:rPr>
          <w:rFonts w:ascii="仿宋" w:hAnsi="仿宋" w:eastAsia="仿宋" w:cs="宋体"/>
          <w:color w:val="auto"/>
          <w:szCs w:val="21"/>
        </w:rPr>
        <w:tab/>
      </w:r>
    </w:p>
    <w:p w14:paraId="066AD7ED">
      <w:pPr>
        <w:pStyle w:val="7"/>
        <w:rPr>
          <w:rFonts w:ascii="仿宋" w:hAnsi="仿宋" w:eastAsia="仿宋"/>
          <w:color w:val="auto"/>
        </w:rPr>
      </w:pPr>
      <w:r>
        <w:rPr>
          <w:rFonts w:ascii="仿宋" w:hAnsi="仿宋" w:eastAsia="仿宋"/>
          <w:color w:val="auto"/>
        </w:rPr>
        <w:br w:type="page"/>
      </w:r>
    </w:p>
    <w:p w14:paraId="0AC7F11E">
      <w:pPr>
        <w:tabs>
          <w:tab w:val="left" w:pos="435"/>
        </w:tabs>
        <w:spacing w:line="360" w:lineRule="auto"/>
        <w:rPr>
          <w:rFonts w:ascii="仿宋" w:hAnsi="仿宋" w:eastAsia="仿宋" w:cs="宋体"/>
          <w:color w:val="auto"/>
        </w:rPr>
        <w:sectPr>
          <w:headerReference r:id="rId3" w:type="default"/>
          <w:footerReference r:id="rId4" w:type="default"/>
          <w:pgSz w:w="11906" w:h="16838"/>
          <w:pgMar w:top="1417" w:right="1417" w:bottom="1417" w:left="1417" w:header="851" w:footer="992" w:gutter="0"/>
          <w:pgNumType w:fmt="numberInDash"/>
          <w:cols w:space="720" w:num="1"/>
          <w:docGrid w:type="lines" w:linePitch="312" w:charSpace="0"/>
        </w:sectPr>
      </w:pPr>
    </w:p>
    <w:p w14:paraId="4030D582">
      <w:pPr>
        <w:pStyle w:val="2"/>
        <w:numPr>
          <w:ilvl w:val="0"/>
          <w:numId w:val="1"/>
        </w:numPr>
        <w:jc w:val="center"/>
        <w:rPr>
          <w:rFonts w:ascii="仿宋" w:hAnsi="仿宋" w:eastAsia="仿宋" w:cs="宋体"/>
          <w:color w:val="auto"/>
          <w:sz w:val="36"/>
          <w:szCs w:val="36"/>
        </w:rPr>
      </w:pPr>
      <w:bookmarkStart w:id="0" w:name="_Toc24675"/>
      <w:bookmarkStart w:id="1" w:name="_Toc149035902"/>
      <w:r>
        <w:rPr>
          <w:rFonts w:hint="eastAsia" w:ascii="仿宋" w:hAnsi="仿宋" w:eastAsia="仿宋" w:cs="宋体"/>
          <w:color w:val="auto"/>
          <w:sz w:val="36"/>
          <w:szCs w:val="36"/>
        </w:rPr>
        <w:t>竞争性磋商采购公告（代采购邀请函）</w:t>
      </w:r>
      <w:bookmarkEnd w:id="0"/>
      <w:bookmarkEnd w:id="1"/>
    </w:p>
    <w:p w14:paraId="0C70A405">
      <w:pPr>
        <w:spacing w:line="360" w:lineRule="auto"/>
        <w:ind w:firstLine="420" w:firstLineChars="200"/>
        <w:rPr>
          <w:rFonts w:ascii="仿宋" w:hAnsi="仿宋" w:eastAsia="仿宋" w:cs="宋体"/>
          <w:color w:val="auto"/>
          <w:szCs w:val="21"/>
        </w:rPr>
      </w:pPr>
      <w:bookmarkStart w:id="2" w:name="_Hlk42246677"/>
    </w:p>
    <w:p w14:paraId="16CD49B0">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ascii="仿宋" w:hAnsi="仿宋" w:eastAsia="仿宋"/>
          <w:color w:val="auto"/>
          <w:szCs w:val="21"/>
        </w:rPr>
      </w:pPr>
      <w:r>
        <w:rPr>
          <w:rFonts w:hint="eastAsia" w:ascii="仿宋" w:hAnsi="仿宋" w:eastAsia="仿宋"/>
          <w:color w:val="auto"/>
          <w:szCs w:val="21"/>
        </w:rPr>
        <w:t>项目概况：</w:t>
      </w:r>
    </w:p>
    <w:p w14:paraId="651B2083">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20" w:firstLineChars="200"/>
        <w:textAlignment w:val="auto"/>
        <w:rPr>
          <w:rFonts w:ascii="仿宋" w:hAnsi="仿宋" w:eastAsia="仿宋"/>
          <w:color w:val="auto"/>
          <w:szCs w:val="21"/>
        </w:rPr>
      </w:pPr>
      <w:bookmarkStart w:id="3" w:name="_Hlk47472557"/>
      <w:bookmarkEnd w:id="3"/>
      <w:r>
        <w:rPr>
          <w:rFonts w:hint="eastAsia" w:ascii="仿宋" w:hAnsi="仿宋" w:eastAsia="仿宋"/>
          <w:color w:val="auto"/>
          <w:szCs w:val="21"/>
          <w:u w:val="single"/>
          <w:lang w:eastAsia="zh-CN"/>
        </w:rPr>
        <w:t>湖北省第三人民医院硚口院区可透射线碳纤维头架采购项目</w:t>
      </w:r>
      <w:r>
        <w:rPr>
          <w:rFonts w:hint="eastAsia" w:ascii="仿宋" w:hAnsi="仿宋" w:eastAsia="仿宋"/>
          <w:color w:val="auto"/>
          <w:szCs w:val="21"/>
        </w:rPr>
        <w:t>的潜在供应商应在</w:t>
      </w:r>
      <w:r>
        <w:rPr>
          <w:rFonts w:hint="eastAsia" w:ascii="仿宋" w:hAnsi="仿宋" w:eastAsia="仿宋"/>
          <w:color w:val="auto"/>
          <w:szCs w:val="21"/>
          <w:u w:val="single"/>
        </w:rPr>
        <w:t>线上</w:t>
      </w:r>
      <w:r>
        <w:rPr>
          <w:rFonts w:hint="eastAsia" w:ascii="仿宋" w:hAnsi="仿宋" w:eastAsia="仿宋"/>
          <w:color w:val="auto"/>
          <w:szCs w:val="21"/>
        </w:rPr>
        <w:t>获取采购文件，并于</w:t>
      </w:r>
      <w:r>
        <w:rPr>
          <w:rFonts w:hint="eastAsia" w:ascii="仿宋" w:hAnsi="仿宋" w:eastAsia="仿宋"/>
          <w:color w:val="auto"/>
          <w:szCs w:val="21"/>
          <w:u w:val="single"/>
          <w:lang w:eastAsia="zh-CN"/>
        </w:rPr>
        <w:t>202</w:t>
      </w:r>
      <w:r>
        <w:rPr>
          <w:rFonts w:hint="eastAsia" w:ascii="仿宋" w:hAnsi="仿宋" w:eastAsia="仿宋"/>
          <w:color w:val="auto"/>
          <w:szCs w:val="21"/>
          <w:u w:val="single"/>
          <w:lang w:val="en-US" w:eastAsia="zh-CN"/>
        </w:rPr>
        <w:t>6</w:t>
      </w:r>
      <w:r>
        <w:rPr>
          <w:rFonts w:hint="eastAsia" w:ascii="仿宋" w:hAnsi="仿宋" w:eastAsia="仿宋"/>
          <w:color w:val="auto"/>
          <w:szCs w:val="21"/>
          <w:u w:val="single"/>
          <w:lang w:eastAsia="zh-CN"/>
        </w:rPr>
        <w:t>年</w:t>
      </w:r>
      <w:r>
        <w:rPr>
          <w:rFonts w:hint="eastAsia" w:ascii="仿宋" w:hAnsi="仿宋" w:eastAsia="仿宋"/>
          <w:color w:val="auto"/>
          <w:szCs w:val="21"/>
          <w:u w:val="single"/>
          <w:lang w:val="en-US" w:eastAsia="zh-CN"/>
        </w:rPr>
        <w:t>10</w:t>
      </w:r>
      <w:r>
        <w:rPr>
          <w:rFonts w:hint="eastAsia" w:ascii="仿宋" w:hAnsi="仿宋" w:eastAsia="仿宋"/>
          <w:color w:val="auto"/>
          <w:szCs w:val="21"/>
          <w:u w:val="single"/>
          <w:lang w:eastAsia="zh-CN"/>
        </w:rPr>
        <w:t>月</w:t>
      </w:r>
      <w:r>
        <w:rPr>
          <w:rFonts w:hint="eastAsia" w:ascii="仿宋" w:hAnsi="仿宋" w:eastAsia="仿宋"/>
          <w:color w:val="auto"/>
          <w:szCs w:val="21"/>
          <w:u w:val="single"/>
          <w:lang w:val="en-US" w:eastAsia="zh-CN"/>
        </w:rPr>
        <w:t>08</w:t>
      </w:r>
      <w:r>
        <w:rPr>
          <w:rFonts w:hint="eastAsia" w:ascii="仿宋" w:hAnsi="仿宋" w:eastAsia="仿宋"/>
          <w:bCs/>
          <w:color w:val="auto"/>
          <w:szCs w:val="21"/>
          <w:u w:val="single"/>
        </w:rPr>
        <w:t>日</w:t>
      </w:r>
      <w:r>
        <w:rPr>
          <w:rFonts w:hint="eastAsia" w:ascii="仿宋" w:hAnsi="仿宋" w:eastAsia="仿宋"/>
          <w:bCs/>
          <w:color w:val="auto"/>
          <w:szCs w:val="21"/>
          <w:u w:val="single"/>
          <w:lang w:val="en-US" w:eastAsia="zh-CN"/>
        </w:rPr>
        <w:t>14</w:t>
      </w:r>
      <w:r>
        <w:rPr>
          <w:rFonts w:hint="eastAsia" w:ascii="仿宋" w:hAnsi="仿宋" w:eastAsia="仿宋"/>
          <w:bCs/>
          <w:color w:val="auto"/>
          <w:szCs w:val="21"/>
          <w:u w:val="single"/>
        </w:rPr>
        <w:t>时30分</w:t>
      </w:r>
      <w:r>
        <w:rPr>
          <w:rFonts w:hint="eastAsia" w:ascii="仿宋" w:hAnsi="仿宋" w:eastAsia="仿宋"/>
          <w:bCs/>
          <w:color w:val="auto"/>
          <w:szCs w:val="21"/>
        </w:rPr>
        <w:t>（北京时间）前提交响应</w:t>
      </w:r>
      <w:r>
        <w:rPr>
          <w:rFonts w:ascii="仿宋" w:hAnsi="仿宋" w:eastAsia="仿宋"/>
          <w:bCs/>
          <w:color w:val="auto"/>
          <w:szCs w:val="21"/>
        </w:rPr>
        <w:t>文件</w:t>
      </w:r>
      <w:r>
        <w:rPr>
          <w:rFonts w:hint="eastAsia" w:ascii="仿宋" w:hAnsi="仿宋" w:eastAsia="仿宋"/>
          <w:color w:val="auto"/>
          <w:szCs w:val="21"/>
        </w:rPr>
        <w:t>。</w:t>
      </w:r>
    </w:p>
    <w:p w14:paraId="792CF40F">
      <w:pPr>
        <w:pStyle w:val="7"/>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仿宋" w:hAnsi="仿宋" w:eastAsia="仿宋"/>
          <w:color w:val="auto"/>
        </w:rPr>
      </w:pPr>
    </w:p>
    <w:p w14:paraId="0A2DA49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宋体"/>
          <w:color w:val="auto"/>
          <w:szCs w:val="21"/>
        </w:rPr>
      </w:pPr>
      <w:r>
        <w:rPr>
          <w:rFonts w:hint="eastAsia" w:ascii="仿宋" w:hAnsi="仿宋" w:eastAsia="仿宋" w:cs="宋体"/>
          <w:b/>
          <w:bCs/>
          <w:color w:val="auto"/>
          <w:szCs w:val="21"/>
        </w:rPr>
        <w:t>一、项目基本情况</w:t>
      </w:r>
    </w:p>
    <w:p w14:paraId="7D149E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仿宋" w:hAnsi="仿宋" w:eastAsia="仿宋" w:cs="宋体"/>
          <w:color w:val="auto"/>
          <w:szCs w:val="21"/>
          <w:lang w:val="en-US" w:eastAsia="zh-CN"/>
        </w:rPr>
      </w:pPr>
      <w:r>
        <w:rPr>
          <w:rFonts w:hint="eastAsia" w:ascii="仿宋" w:hAnsi="仿宋" w:eastAsia="仿宋" w:cs="宋体"/>
          <w:color w:val="auto"/>
          <w:szCs w:val="21"/>
          <w:lang w:eastAsia="zh-CN"/>
        </w:rPr>
        <w:t>1.</w:t>
      </w:r>
      <w:r>
        <w:rPr>
          <w:rFonts w:hint="eastAsia" w:ascii="仿宋" w:hAnsi="仿宋" w:eastAsia="仿宋" w:cs="宋体"/>
          <w:color w:val="auto"/>
          <w:szCs w:val="21"/>
        </w:rPr>
        <w:t>项目编号：</w:t>
      </w:r>
      <w:r>
        <w:rPr>
          <w:rFonts w:hint="eastAsia" w:ascii="仿宋" w:hAnsi="仿宋" w:eastAsia="仿宋" w:cs="宋体"/>
          <w:color w:val="auto"/>
          <w:szCs w:val="21"/>
          <w:lang w:val="hr-HR"/>
        </w:rPr>
        <w:t>HBCZ-2502051349-</w:t>
      </w:r>
      <w:r>
        <w:rPr>
          <w:rFonts w:hint="eastAsia" w:ascii="仿宋" w:hAnsi="仿宋" w:eastAsia="仿宋" w:cs="宋体"/>
          <w:color w:val="auto"/>
          <w:szCs w:val="21"/>
          <w:lang w:val="en-US" w:eastAsia="zh-CN"/>
        </w:rPr>
        <w:t>263407</w:t>
      </w:r>
    </w:p>
    <w:p w14:paraId="6188F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宋体"/>
          <w:color w:val="auto"/>
          <w:szCs w:val="21"/>
          <w:lang w:eastAsia="zh-CN"/>
        </w:rPr>
      </w:pPr>
      <w:r>
        <w:rPr>
          <w:rFonts w:hint="eastAsia" w:ascii="仿宋" w:hAnsi="仿宋" w:eastAsia="仿宋" w:cs="宋体"/>
          <w:color w:val="auto"/>
          <w:szCs w:val="21"/>
          <w:lang w:eastAsia="zh-CN"/>
        </w:rPr>
        <w:t>2.</w:t>
      </w:r>
      <w:r>
        <w:rPr>
          <w:rFonts w:hint="eastAsia" w:ascii="仿宋" w:hAnsi="仿宋" w:eastAsia="仿宋" w:cs="宋体"/>
          <w:color w:val="auto"/>
          <w:szCs w:val="21"/>
        </w:rPr>
        <w:t>项目名称：</w:t>
      </w:r>
      <w:r>
        <w:rPr>
          <w:rFonts w:hint="eastAsia" w:ascii="仿宋" w:hAnsi="仿宋" w:eastAsia="仿宋" w:cs="宋体"/>
          <w:color w:val="auto"/>
          <w:szCs w:val="21"/>
          <w:lang w:eastAsia="zh-CN"/>
        </w:rPr>
        <w:t>湖北省第三人民医院硚口院区可透射线碳纤维头架采购项目</w:t>
      </w:r>
    </w:p>
    <w:p w14:paraId="46D585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lang w:eastAsia="zh-CN"/>
        </w:rPr>
        <w:t>3.</w:t>
      </w:r>
      <w:r>
        <w:rPr>
          <w:rFonts w:hint="eastAsia" w:ascii="仿宋" w:hAnsi="仿宋" w:eastAsia="仿宋" w:cs="宋体"/>
          <w:color w:val="auto"/>
          <w:szCs w:val="21"/>
        </w:rPr>
        <w:t>采购方式：竞争性磋商</w:t>
      </w:r>
    </w:p>
    <w:p w14:paraId="5551D9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lang w:eastAsia="zh-CN"/>
        </w:rPr>
        <w:t>4.</w:t>
      </w:r>
      <w:r>
        <w:rPr>
          <w:rFonts w:hint="eastAsia" w:ascii="仿宋" w:hAnsi="仿宋" w:eastAsia="仿宋" w:cs="宋体"/>
          <w:color w:val="auto"/>
          <w:szCs w:val="21"/>
        </w:rPr>
        <w:t>预算金额：</w:t>
      </w:r>
      <w:r>
        <w:rPr>
          <w:rFonts w:hint="eastAsia" w:ascii="仿宋" w:hAnsi="仿宋" w:eastAsia="仿宋" w:cs="宋体"/>
          <w:color w:val="auto"/>
          <w:szCs w:val="21"/>
          <w:lang w:val="en-US" w:eastAsia="zh-CN"/>
        </w:rPr>
        <w:t>39.8</w:t>
      </w:r>
      <w:r>
        <w:rPr>
          <w:rFonts w:hint="eastAsia" w:ascii="仿宋" w:hAnsi="仿宋" w:eastAsia="仿宋" w:cs="宋体"/>
          <w:color w:val="auto"/>
          <w:szCs w:val="21"/>
        </w:rPr>
        <w:t>(万元)</w:t>
      </w:r>
    </w:p>
    <w:p w14:paraId="6898D6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lang w:eastAsia="zh-CN"/>
        </w:rPr>
        <w:t>5.</w:t>
      </w:r>
      <w:r>
        <w:rPr>
          <w:rFonts w:hint="eastAsia" w:ascii="仿宋" w:hAnsi="仿宋" w:eastAsia="仿宋" w:cs="宋体"/>
          <w:color w:val="auto"/>
          <w:szCs w:val="21"/>
        </w:rPr>
        <w:t>最高限价：</w:t>
      </w:r>
      <w:r>
        <w:rPr>
          <w:rFonts w:hint="eastAsia" w:ascii="仿宋" w:hAnsi="仿宋" w:eastAsia="仿宋" w:cs="宋体"/>
          <w:color w:val="auto"/>
          <w:szCs w:val="21"/>
          <w:lang w:val="en-US" w:eastAsia="zh-CN"/>
        </w:rPr>
        <w:t>39.8</w:t>
      </w:r>
      <w:r>
        <w:rPr>
          <w:rFonts w:hint="eastAsia" w:ascii="仿宋" w:hAnsi="仿宋" w:eastAsia="仿宋" w:cs="宋体"/>
          <w:color w:val="auto"/>
          <w:szCs w:val="21"/>
        </w:rPr>
        <w:t>(万元)</w:t>
      </w:r>
    </w:p>
    <w:p w14:paraId="63507C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lang w:eastAsia="zh-CN"/>
        </w:rPr>
        <w:t>6.</w:t>
      </w:r>
      <w:r>
        <w:rPr>
          <w:rFonts w:hint="eastAsia" w:ascii="仿宋" w:hAnsi="仿宋" w:eastAsia="仿宋" w:cs="宋体"/>
          <w:color w:val="auto"/>
          <w:szCs w:val="21"/>
        </w:rPr>
        <w:t>采购需求：</w:t>
      </w:r>
    </w:p>
    <w:tbl>
      <w:tblPr>
        <w:tblStyle w:val="20"/>
        <w:tblW w:w="44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082"/>
        <w:gridCol w:w="749"/>
        <w:gridCol w:w="1206"/>
        <w:gridCol w:w="1568"/>
        <w:gridCol w:w="957"/>
        <w:gridCol w:w="1299"/>
        <w:gridCol w:w="781"/>
      </w:tblGrid>
      <w:tr w14:paraId="0EAD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97" w:type="pct"/>
            <w:vAlign w:val="center"/>
          </w:tcPr>
          <w:p w14:paraId="7F38C620">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包号</w:t>
            </w:r>
          </w:p>
        </w:tc>
        <w:tc>
          <w:tcPr>
            <w:tcW w:w="651" w:type="pct"/>
            <w:vAlign w:val="center"/>
          </w:tcPr>
          <w:p w14:paraId="5AB8B48D">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设备名称</w:t>
            </w:r>
          </w:p>
        </w:tc>
        <w:tc>
          <w:tcPr>
            <w:tcW w:w="451" w:type="pct"/>
            <w:vAlign w:val="center"/>
          </w:tcPr>
          <w:p w14:paraId="0B445EDD">
            <w:pPr>
              <w:adjustRightInd w:val="0"/>
              <w:snapToGrid w:val="0"/>
              <w:spacing w:line="276" w:lineRule="auto"/>
              <w:jc w:val="center"/>
              <w:rPr>
                <w:rFonts w:hint="default" w:ascii="仿宋" w:hAnsi="仿宋" w:eastAsia="仿宋" w:cs="宋体"/>
                <w:color w:val="auto"/>
                <w:szCs w:val="21"/>
                <w:lang w:val="en-US" w:eastAsia="zh-CN"/>
              </w:rPr>
            </w:pPr>
            <w:r>
              <w:rPr>
                <w:rFonts w:hint="eastAsia" w:ascii="仿宋" w:hAnsi="仿宋" w:eastAsia="仿宋" w:cs="宋体"/>
                <w:color w:val="auto"/>
                <w:szCs w:val="21"/>
                <w:lang w:val="en-US" w:eastAsia="zh-CN"/>
              </w:rPr>
              <w:t>数量</w:t>
            </w:r>
          </w:p>
        </w:tc>
        <w:tc>
          <w:tcPr>
            <w:tcW w:w="726" w:type="pct"/>
            <w:vAlign w:val="center"/>
          </w:tcPr>
          <w:p w14:paraId="4186B7E3">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预算总价/</w:t>
            </w:r>
          </w:p>
          <w:p w14:paraId="2B3CB89E">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最高限价</w:t>
            </w:r>
          </w:p>
          <w:p w14:paraId="1661D953">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（万元）</w:t>
            </w:r>
          </w:p>
        </w:tc>
        <w:tc>
          <w:tcPr>
            <w:tcW w:w="944" w:type="pct"/>
            <w:vAlign w:val="center"/>
          </w:tcPr>
          <w:p w14:paraId="3EA9439D">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交货期</w:t>
            </w:r>
          </w:p>
        </w:tc>
        <w:tc>
          <w:tcPr>
            <w:tcW w:w="576" w:type="pct"/>
            <w:vAlign w:val="center"/>
          </w:tcPr>
          <w:p w14:paraId="5DF0FA77">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质保期</w:t>
            </w:r>
          </w:p>
        </w:tc>
        <w:tc>
          <w:tcPr>
            <w:tcW w:w="782" w:type="pct"/>
            <w:vAlign w:val="center"/>
          </w:tcPr>
          <w:p w14:paraId="2DFDC707">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是否可以采购进口产品</w:t>
            </w:r>
          </w:p>
        </w:tc>
        <w:tc>
          <w:tcPr>
            <w:tcW w:w="470" w:type="pct"/>
            <w:vAlign w:val="center"/>
          </w:tcPr>
          <w:p w14:paraId="4068DA71">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备注</w:t>
            </w:r>
          </w:p>
        </w:tc>
      </w:tr>
      <w:tr w14:paraId="6BA7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397" w:type="pct"/>
            <w:vAlign w:val="center"/>
          </w:tcPr>
          <w:p w14:paraId="65EF48CB">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1</w:t>
            </w:r>
          </w:p>
        </w:tc>
        <w:tc>
          <w:tcPr>
            <w:tcW w:w="651" w:type="pct"/>
            <w:vAlign w:val="center"/>
          </w:tcPr>
          <w:p w14:paraId="27D792B4">
            <w:pPr>
              <w:adjustRightInd w:val="0"/>
              <w:snapToGrid w:val="0"/>
              <w:spacing w:line="276" w:lineRule="auto"/>
              <w:jc w:val="center"/>
              <w:rPr>
                <w:rFonts w:hint="eastAsia" w:ascii="仿宋" w:hAnsi="仿宋" w:eastAsia="仿宋" w:cs="宋体"/>
                <w:color w:val="auto"/>
                <w:szCs w:val="21"/>
                <w:lang w:eastAsia="zh-CN"/>
              </w:rPr>
            </w:pPr>
            <w:r>
              <w:rPr>
                <w:rFonts w:hint="eastAsia" w:ascii="仿宋" w:hAnsi="仿宋" w:eastAsia="仿宋" w:cs="宋体"/>
                <w:color w:val="auto"/>
                <w:szCs w:val="21"/>
                <w:lang w:eastAsia="zh-CN"/>
              </w:rPr>
              <w:t>可透射线碳纤维头架</w:t>
            </w:r>
          </w:p>
        </w:tc>
        <w:tc>
          <w:tcPr>
            <w:tcW w:w="451" w:type="pct"/>
            <w:vAlign w:val="center"/>
          </w:tcPr>
          <w:p w14:paraId="35606740">
            <w:pPr>
              <w:adjustRightInd w:val="0"/>
              <w:snapToGrid w:val="0"/>
              <w:spacing w:line="276" w:lineRule="auto"/>
              <w:jc w:val="center"/>
              <w:rPr>
                <w:rFonts w:hint="default" w:ascii="仿宋" w:hAnsi="仿宋" w:eastAsia="仿宋" w:cs="宋体"/>
                <w:color w:val="auto"/>
                <w:szCs w:val="21"/>
                <w:lang w:val="en-US" w:eastAsia="zh-CN"/>
              </w:rPr>
            </w:pPr>
            <w:r>
              <w:rPr>
                <w:rFonts w:hint="eastAsia" w:ascii="仿宋" w:hAnsi="仿宋" w:eastAsia="仿宋" w:cs="宋体"/>
                <w:color w:val="auto"/>
                <w:szCs w:val="21"/>
                <w:lang w:val="en-US" w:eastAsia="zh-CN"/>
              </w:rPr>
              <w:t>一套</w:t>
            </w:r>
          </w:p>
        </w:tc>
        <w:tc>
          <w:tcPr>
            <w:tcW w:w="726" w:type="pct"/>
            <w:vAlign w:val="center"/>
          </w:tcPr>
          <w:p w14:paraId="3634AECD">
            <w:pPr>
              <w:adjustRightInd w:val="0"/>
              <w:snapToGrid w:val="0"/>
              <w:spacing w:line="276" w:lineRule="auto"/>
              <w:jc w:val="center"/>
              <w:rPr>
                <w:rFonts w:hint="default" w:ascii="仿宋" w:hAnsi="仿宋" w:eastAsia="仿宋" w:cs="宋体"/>
                <w:color w:val="auto"/>
                <w:szCs w:val="21"/>
                <w:lang w:val="en-US" w:eastAsia="zh-CN"/>
              </w:rPr>
            </w:pPr>
            <w:r>
              <w:rPr>
                <w:rFonts w:hint="eastAsia" w:ascii="仿宋" w:hAnsi="仿宋" w:eastAsia="仿宋" w:cs="宋体"/>
                <w:color w:val="auto"/>
                <w:szCs w:val="21"/>
                <w:lang w:val="en-US" w:eastAsia="zh-CN"/>
              </w:rPr>
              <w:t>39.8</w:t>
            </w:r>
          </w:p>
        </w:tc>
        <w:tc>
          <w:tcPr>
            <w:tcW w:w="944" w:type="pct"/>
            <w:vAlign w:val="center"/>
          </w:tcPr>
          <w:p w14:paraId="1C0DAE86">
            <w:pPr>
              <w:adjustRightInd w:val="0"/>
              <w:snapToGrid w:val="0"/>
              <w:spacing w:line="276" w:lineRule="auto"/>
              <w:jc w:val="center"/>
              <w:rPr>
                <w:rFonts w:hint="eastAsia" w:ascii="仿宋" w:hAnsi="仿宋" w:eastAsia="仿宋" w:cs="宋体"/>
                <w:color w:val="auto"/>
                <w:szCs w:val="21"/>
              </w:rPr>
            </w:pPr>
            <w:r>
              <w:rPr>
                <w:rFonts w:hint="eastAsia" w:ascii="仿宋" w:hAnsi="仿宋" w:eastAsia="仿宋" w:cs="宋体"/>
                <w:color w:val="auto"/>
                <w:szCs w:val="21"/>
              </w:rPr>
              <w:t>签订合同后30个工作日内</w:t>
            </w:r>
          </w:p>
        </w:tc>
        <w:tc>
          <w:tcPr>
            <w:tcW w:w="576" w:type="pct"/>
            <w:vAlign w:val="center"/>
          </w:tcPr>
          <w:p w14:paraId="22EE2CF6">
            <w:pPr>
              <w:adjustRightInd w:val="0"/>
              <w:snapToGrid w:val="0"/>
              <w:spacing w:line="276" w:lineRule="auto"/>
              <w:jc w:val="center"/>
              <w:rPr>
                <w:rFonts w:hint="default" w:ascii="仿宋" w:hAnsi="仿宋" w:eastAsia="仿宋" w:cs="宋体"/>
                <w:color w:val="auto"/>
                <w:szCs w:val="21"/>
                <w:lang w:val="en-US" w:eastAsia="zh-CN"/>
              </w:rPr>
            </w:pPr>
            <w:r>
              <w:rPr>
                <w:rFonts w:hint="eastAsia" w:ascii="仿宋" w:hAnsi="仿宋" w:eastAsia="仿宋" w:cs="宋体"/>
                <w:color w:val="auto"/>
                <w:szCs w:val="21"/>
                <w:lang w:val="en-US" w:eastAsia="zh-CN"/>
              </w:rPr>
              <w:t>≥3年</w:t>
            </w:r>
          </w:p>
        </w:tc>
        <w:tc>
          <w:tcPr>
            <w:tcW w:w="782" w:type="pct"/>
            <w:vAlign w:val="center"/>
          </w:tcPr>
          <w:p w14:paraId="29A444D6">
            <w:pPr>
              <w:adjustRightInd w:val="0"/>
              <w:snapToGrid w:val="0"/>
              <w:spacing w:line="276" w:lineRule="auto"/>
              <w:jc w:val="center"/>
              <w:rPr>
                <w:rFonts w:hint="eastAsia" w:ascii="仿宋" w:hAnsi="仿宋" w:eastAsia="仿宋" w:cs="宋体"/>
                <w:color w:val="auto"/>
                <w:szCs w:val="21"/>
                <w:lang w:val="en-US" w:eastAsia="zh-CN"/>
              </w:rPr>
            </w:pPr>
            <w:r>
              <w:rPr>
                <w:rFonts w:hint="eastAsia" w:ascii="仿宋" w:hAnsi="仿宋" w:eastAsia="仿宋" w:cs="宋体"/>
                <w:color w:val="auto"/>
                <w:szCs w:val="21"/>
                <w:lang w:val="en-US" w:eastAsia="zh-CN"/>
              </w:rPr>
              <w:t>否</w:t>
            </w:r>
          </w:p>
        </w:tc>
        <w:tc>
          <w:tcPr>
            <w:tcW w:w="470" w:type="pct"/>
            <w:vAlign w:val="center"/>
          </w:tcPr>
          <w:p w14:paraId="4A8861B5">
            <w:pPr>
              <w:adjustRightInd w:val="0"/>
              <w:snapToGrid w:val="0"/>
              <w:spacing w:line="276" w:lineRule="auto"/>
              <w:jc w:val="center"/>
              <w:rPr>
                <w:rFonts w:hint="default" w:ascii="仿宋" w:hAnsi="仿宋" w:eastAsia="仿宋" w:cs="宋体"/>
                <w:color w:val="auto"/>
                <w:szCs w:val="21"/>
                <w:lang w:val="en-US" w:eastAsia="zh-CN"/>
              </w:rPr>
            </w:pPr>
          </w:p>
        </w:tc>
      </w:tr>
    </w:tbl>
    <w:p w14:paraId="3206E806">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7.</w:t>
      </w:r>
      <w:r>
        <w:rPr>
          <w:rFonts w:hint="eastAsia" w:ascii="仿宋" w:hAnsi="仿宋" w:eastAsia="仿宋" w:cs="仿宋"/>
          <w:color w:val="auto"/>
          <w:szCs w:val="21"/>
        </w:rPr>
        <w:t>合同履行期限：自合同签订之日起至质保期满止</w:t>
      </w:r>
    </w:p>
    <w:p w14:paraId="02EC478E">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8.</w:t>
      </w:r>
      <w:r>
        <w:rPr>
          <w:rFonts w:hint="eastAsia" w:ascii="仿宋" w:hAnsi="仿宋" w:eastAsia="仿宋" w:cs="仿宋"/>
          <w:color w:val="auto"/>
          <w:szCs w:val="21"/>
        </w:rPr>
        <w:t>本项目（是/否）接受联合体投标：否</w:t>
      </w:r>
    </w:p>
    <w:p w14:paraId="712FC74D">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9.</w:t>
      </w:r>
      <w:r>
        <w:rPr>
          <w:rFonts w:hint="eastAsia" w:ascii="仿宋" w:hAnsi="仿宋" w:eastAsia="仿宋" w:cs="仿宋"/>
          <w:color w:val="auto"/>
          <w:szCs w:val="21"/>
        </w:rPr>
        <w:t>是否可采购进口产品：否</w:t>
      </w:r>
    </w:p>
    <w:p w14:paraId="41DEA65C">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10.</w:t>
      </w:r>
      <w:r>
        <w:rPr>
          <w:rFonts w:hint="eastAsia" w:ascii="仿宋" w:hAnsi="仿宋" w:eastAsia="仿宋" w:cs="仿宋"/>
          <w:color w:val="auto"/>
          <w:szCs w:val="21"/>
        </w:rPr>
        <w:t>本项目（是/否）接受合同分包：否</w:t>
      </w:r>
    </w:p>
    <w:p w14:paraId="752E8177">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eastAsia="zh-CN"/>
        </w:rPr>
        <w:t>2.</w:t>
      </w:r>
      <w:r>
        <w:rPr>
          <w:rFonts w:hint="eastAsia" w:ascii="仿宋" w:hAnsi="仿宋" w:eastAsia="仿宋" w:cs="仿宋"/>
          <w:color w:val="auto"/>
          <w:szCs w:val="21"/>
        </w:rPr>
        <w:t>本项目（是/否）专门面向中小微企业：否</w:t>
      </w:r>
    </w:p>
    <w:p w14:paraId="57CA5204">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1</w:t>
      </w:r>
      <w:r>
        <w:rPr>
          <w:rFonts w:hint="eastAsia" w:ascii="仿宋" w:hAnsi="仿宋" w:eastAsia="仿宋" w:cs="仿宋"/>
          <w:color w:val="auto"/>
          <w:szCs w:val="21"/>
          <w:lang w:eastAsia="zh-CN"/>
        </w:rPr>
        <w:t>3.</w:t>
      </w:r>
      <w:r>
        <w:rPr>
          <w:rFonts w:hint="eastAsia" w:ascii="仿宋" w:hAnsi="仿宋" w:eastAsia="仿宋" w:cs="仿宋"/>
          <w:color w:val="auto"/>
          <w:szCs w:val="21"/>
        </w:rPr>
        <w:t>符合条件的小微企业价格扣除优惠为：10%</w:t>
      </w:r>
    </w:p>
    <w:p w14:paraId="59AEB465">
      <w:pPr>
        <w:pStyle w:val="3"/>
        <w:pageBreakBefore w:val="0"/>
        <w:kinsoku/>
        <w:wordWrap/>
        <w:overflowPunct/>
        <w:topLinePunct w:val="0"/>
        <w:autoSpaceDE/>
        <w:autoSpaceDN/>
        <w:bidi w:val="0"/>
        <w:spacing w:before="0" w:after="0" w:line="360" w:lineRule="auto"/>
        <w:ind w:left="0" w:leftChars="0"/>
        <w:textAlignment w:val="auto"/>
        <w:rPr>
          <w:rFonts w:hint="eastAsia" w:ascii="仿宋" w:hAnsi="仿宋" w:eastAsia="仿宋" w:cs="仿宋"/>
          <w:color w:val="auto"/>
          <w:sz w:val="21"/>
          <w:szCs w:val="21"/>
        </w:rPr>
      </w:pPr>
      <w:bookmarkStart w:id="4" w:name="_Toc4170"/>
      <w:bookmarkStart w:id="5" w:name="_Toc149035903"/>
      <w:bookmarkStart w:id="6" w:name="_Toc14559"/>
      <w:bookmarkStart w:id="7" w:name="_Toc13652"/>
      <w:bookmarkStart w:id="8" w:name="_Toc31865"/>
      <w:bookmarkStart w:id="9" w:name="_Toc334539183"/>
      <w:r>
        <w:rPr>
          <w:rFonts w:hint="eastAsia" w:ascii="仿宋" w:hAnsi="仿宋" w:eastAsia="仿宋" w:cs="仿宋"/>
          <w:color w:val="auto"/>
          <w:sz w:val="21"/>
          <w:szCs w:val="21"/>
        </w:rPr>
        <w:t>二、申请人的资格要求</w:t>
      </w:r>
      <w:bookmarkEnd w:id="4"/>
      <w:bookmarkEnd w:id="5"/>
      <w:bookmarkEnd w:id="6"/>
      <w:bookmarkEnd w:id="7"/>
      <w:bookmarkEnd w:id="8"/>
      <w:bookmarkEnd w:id="9"/>
    </w:p>
    <w:p w14:paraId="65E44654">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1.</w:t>
      </w:r>
      <w:r>
        <w:rPr>
          <w:rFonts w:hint="eastAsia" w:ascii="仿宋" w:hAnsi="仿宋" w:eastAsia="仿宋" w:cs="仿宋"/>
          <w:color w:val="auto"/>
          <w:szCs w:val="21"/>
        </w:rPr>
        <w:t>满足《中华人民共和国政府采购法》第二十二条规定，即：</w:t>
      </w:r>
    </w:p>
    <w:p w14:paraId="089EB0C4">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（1）具有独立承担民事责任的能力；</w:t>
      </w:r>
    </w:p>
    <w:p w14:paraId="2052001D">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（2）具有良好的商业信誉和健全的财务会计制度；</w:t>
      </w:r>
    </w:p>
    <w:p w14:paraId="03785F3D">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（3）具有履行合同所必需的设备和专业技术能力；</w:t>
      </w:r>
    </w:p>
    <w:p w14:paraId="3387EB95">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（4）有依法缴纳税收和社会保障资金的良好记录；</w:t>
      </w:r>
    </w:p>
    <w:p w14:paraId="3457510B">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（5）参加政府采购活动前三年内，在经营活动中没有重大违法记录；</w:t>
      </w:r>
    </w:p>
    <w:p w14:paraId="68C888E6">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（6）法律、行政法规规定的其他条件。</w:t>
      </w:r>
    </w:p>
    <w:p w14:paraId="78270C43">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2.</w:t>
      </w:r>
      <w:r>
        <w:rPr>
          <w:rFonts w:hint="eastAsia" w:ascii="仿宋" w:hAnsi="仿宋" w:eastAsia="仿宋" w:cs="仿宋"/>
          <w:color w:val="auto"/>
          <w:szCs w:val="21"/>
        </w:rPr>
        <w:t>单位负责人为同一人或者存在直接控股、管理关系的不同投标人，不得参加本项目同一合同项下的政府采购活动。</w:t>
      </w:r>
    </w:p>
    <w:p w14:paraId="3E893BB6">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3.</w:t>
      </w:r>
      <w:r>
        <w:rPr>
          <w:rFonts w:hint="eastAsia" w:ascii="仿宋" w:hAnsi="仿宋" w:eastAsia="仿宋" w:cs="仿宋"/>
          <w:color w:val="auto"/>
          <w:szCs w:val="21"/>
        </w:rPr>
        <w:t>为本采购项目提供整体设计、规范编制或者项目管理、监理、检测等服务的，不得再参加本项目的其他招标采购活动。</w:t>
      </w:r>
    </w:p>
    <w:p w14:paraId="3D486FAE">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4.</w:t>
      </w:r>
      <w:r>
        <w:rPr>
          <w:rFonts w:hint="eastAsia" w:ascii="仿宋" w:hAnsi="仿宋" w:eastAsia="仿宋" w:cs="仿宋"/>
          <w:color w:val="auto"/>
          <w:szCs w:val="21"/>
        </w:rPr>
        <w:t>未被列入失信被执行人、重大税收违法失信主体，未被列入政府采购严重违法失信行为记录名单。</w:t>
      </w:r>
    </w:p>
    <w:p w14:paraId="1D736FF6">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5.</w:t>
      </w:r>
      <w:r>
        <w:rPr>
          <w:rFonts w:hint="eastAsia" w:ascii="仿宋" w:hAnsi="仿宋" w:eastAsia="仿宋" w:cs="仿宋"/>
          <w:color w:val="auto"/>
          <w:szCs w:val="21"/>
        </w:rPr>
        <w:t>落实政府采购政策需满足的资格要求：/</w:t>
      </w:r>
    </w:p>
    <w:p w14:paraId="1AAC6EF3">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lang w:val="en-US" w:eastAsia="zh-CN"/>
        </w:rPr>
      </w:pPr>
      <w:r>
        <w:rPr>
          <w:rFonts w:hint="eastAsia" w:ascii="仿宋" w:hAnsi="仿宋" w:eastAsia="仿宋" w:cs="仿宋"/>
          <w:color w:val="auto"/>
          <w:szCs w:val="21"/>
          <w:lang w:eastAsia="zh-CN"/>
        </w:rPr>
        <w:t>6.</w:t>
      </w:r>
      <w:r>
        <w:rPr>
          <w:rFonts w:hint="eastAsia" w:ascii="仿宋" w:hAnsi="仿宋" w:eastAsia="仿宋" w:cs="仿宋"/>
          <w:color w:val="auto"/>
          <w:szCs w:val="21"/>
        </w:rPr>
        <w:t>本项目的特定资格要求：</w:t>
      </w:r>
      <w:bookmarkStart w:id="10" w:name="_Toc25251"/>
      <w:bookmarkStart w:id="11" w:name="_Toc11900"/>
      <w:bookmarkStart w:id="12" w:name="_Toc149035904"/>
      <w:bookmarkStart w:id="13" w:name="_Toc334539184"/>
      <w:bookmarkStart w:id="14" w:name="_Toc334539185"/>
      <w:r>
        <w:rPr>
          <w:rFonts w:hint="eastAsia" w:ascii="仿宋" w:hAnsi="仿宋" w:eastAsia="仿宋" w:cs="仿宋"/>
          <w:color w:val="auto"/>
          <w:szCs w:val="21"/>
        </w:rPr>
        <w:t>本项目</w:t>
      </w:r>
      <w:r>
        <w:rPr>
          <w:rFonts w:hint="eastAsia" w:ascii="仿宋" w:hAnsi="仿宋" w:eastAsia="仿宋" w:cs="仿宋"/>
          <w:color w:val="auto"/>
          <w:szCs w:val="21"/>
          <w:lang w:val="en-US" w:eastAsia="zh-CN"/>
        </w:rPr>
        <w:t>供应商</w:t>
      </w:r>
      <w:r>
        <w:rPr>
          <w:rFonts w:hint="eastAsia" w:ascii="仿宋" w:hAnsi="仿宋" w:eastAsia="仿宋" w:cs="仿宋"/>
          <w:color w:val="auto"/>
          <w:szCs w:val="21"/>
        </w:rPr>
        <w:t>所投产品属国家医疗器械管理的，二类及以上医疗器械须提供产品的《医疗器械注册证》；</w:t>
      </w:r>
      <w:r>
        <w:rPr>
          <w:rFonts w:hint="eastAsia" w:ascii="仿宋" w:hAnsi="仿宋" w:eastAsia="仿宋" w:cs="仿宋"/>
          <w:color w:val="auto"/>
          <w:szCs w:val="21"/>
          <w:lang w:val="en-US" w:eastAsia="zh-CN"/>
        </w:rPr>
        <w:t>供应商</w:t>
      </w:r>
      <w:r>
        <w:rPr>
          <w:rFonts w:hint="eastAsia" w:ascii="仿宋" w:hAnsi="仿宋" w:eastAsia="仿宋" w:cs="仿宋"/>
          <w:color w:val="auto"/>
          <w:szCs w:val="21"/>
        </w:rPr>
        <w:t>所投产品为三类医疗器械的，须同时提供《医疗器械经营许可证》。国家另有规定的从其规定。</w:t>
      </w:r>
    </w:p>
    <w:p w14:paraId="0521AF05">
      <w:pPr>
        <w:pStyle w:val="3"/>
        <w:pageBreakBefore w:val="0"/>
        <w:kinsoku/>
        <w:wordWrap/>
        <w:overflowPunct/>
        <w:topLinePunct w:val="0"/>
        <w:autoSpaceDE/>
        <w:autoSpaceDN/>
        <w:bidi w:val="0"/>
        <w:spacing w:before="0" w:after="0" w:line="360" w:lineRule="auto"/>
        <w:ind w:left="0" w:leftChars="0"/>
        <w:textAlignment w:val="auto"/>
        <w:rPr>
          <w:rFonts w:hint="eastAsia" w:ascii="仿宋" w:hAnsi="仿宋" w:eastAsia="仿宋" w:cs="仿宋"/>
          <w:color w:val="auto"/>
          <w:sz w:val="21"/>
          <w:szCs w:val="21"/>
        </w:rPr>
      </w:pPr>
      <w:bookmarkStart w:id="15" w:name="_Toc16913"/>
      <w:r>
        <w:rPr>
          <w:rFonts w:hint="eastAsia" w:ascii="仿宋" w:hAnsi="仿宋" w:eastAsia="仿宋" w:cs="仿宋"/>
          <w:color w:val="auto"/>
          <w:sz w:val="21"/>
          <w:szCs w:val="21"/>
        </w:rPr>
        <w:t>三、获取采购文件</w:t>
      </w:r>
      <w:bookmarkEnd w:id="10"/>
      <w:bookmarkEnd w:id="11"/>
      <w:bookmarkEnd w:id="12"/>
      <w:bookmarkEnd w:id="13"/>
      <w:bookmarkEnd w:id="15"/>
    </w:p>
    <w:bookmarkEnd w:id="14"/>
    <w:p w14:paraId="591DCC30">
      <w:pPr>
        <w:pageBreakBefore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仿宋" w:hAnsi="仿宋" w:eastAsia="仿宋" w:cs="仿宋"/>
          <w:color w:val="auto"/>
          <w:szCs w:val="21"/>
        </w:rPr>
      </w:pPr>
      <w:permStart w:id="0" w:edGrp="everyone"/>
      <w:bookmarkStart w:id="16" w:name="_Toc4524"/>
      <w:bookmarkStart w:id="17" w:name="_Toc259028276"/>
      <w:bookmarkStart w:id="18" w:name="_Toc334539186"/>
      <w:bookmarkStart w:id="19" w:name="_Toc25073"/>
      <w:bookmarkStart w:id="20" w:name="_Toc5442"/>
      <w:r>
        <w:rPr>
          <w:rFonts w:hint="eastAsia" w:ascii="仿宋" w:hAnsi="仿宋" w:eastAsia="仿宋" w:cs="仿宋"/>
          <w:color w:val="auto"/>
          <w:szCs w:val="21"/>
          <w:lang w:eastAsia="zh-CN"/>
        </w:rPr>
        <w:t>1.</w:t>
      </w:r>
      <w:r>
        <w:rPr>
          <w:rFonts w:hint="eastAsia" w:ascii="仿宋" w:hAnsi="仿宋" w:eastAsia="仿宋" w:cs="仿宋"/>
          <w:color w:val="auto"/>
          <w:szCs w:val="21"/>
        </w:rPr>
        <w:t>时间：</w:t>
      </w:r>
      <w:r>
        <w:rPr>
          <w:rFonts w:hint="eastAsia" w:ascii="仿宋" w:hAnsi="仿宋" w:eastAsia="仿宋" w:cs="仿宋"/>
          <w:color w:val="auto"/>
          <w:szCs w:val="21"/>
          <w:lang w:eastAsia="zh-CN"/>
        </w:rPr>
        <w:t>202</w:t>
      </w:r>
      <w:r>
        <w:rPr>
          <w:rFonts w:hint="eastAsia" w:ascii="仿宋" w:hAnsi="仿宋" w:eastAsia="仿宋" w:cs="仿宋"/>
          <w:color w:val="auto"/>
          <w:szCs w:val="21"/>
          <w:lang w:val="en-US" w:eastAsia="zh-CN"/>
        </w:rPr>
        <w:t>6</w:t>
      </w:r>
      <w:r>
        <w:rPr>
          <w:rFonts w:hint="eastAsia" w:ascii="仿宋" w:hAnsi="仿宋" w:eastAsia="仿宋" w:cs="仿宋"/>
          <w:color w:val="auto"/>
          <w:szCs w:val="21"/>
          <w:lang w:eastAsia="zh-CN"/>
        </w:rPr>
        <w:t>年</w:t>
      </w:r>
      <w:r>
        <w:rPr>
          <w:rFonts w:hint="eastAsia" w:ascii="仿宋" w:hAnsi="仿宋" w:eastAsia="仿宋" w:cs="仿宋"/>
          <w:color w:val="auto"/>
          <w:szCs w:val="21"/>
          <w:lang w:val="en-US" w:eastAsia="zh-CN"/>
        </w:rPr>
        <w:t>09</w:t>
      </w:r>
      <w:r>
        <w:rPr>
          <w:rFonts w:hint="eastAsia" w:ascii="仿宋" w:hAnsi="仿宋" w:eastAsia="仿宋" w:cs="仿宋"/>
          <w:color w:val="auto"/>
          <w:szCs w:val="21"/>
          <w:lang w:eastAsia="zh-CN"/>
        </w:rPr>
        <w:t>月</w:t>
      </w:r>
      <w:r>
        <w:rPr>
          <w:rFonts w:hint="eastAsia" w:ascii="仿宋" w:hAnsi="仿宋" w:eastAsia="仿宋" w:cs="仿宋"/>
          <w:color w:val="auto"/>
          <w:szCs w:val="21"/>
          <w:lang w:val="en-US" w:eastAsia="zh-CN"/>
        </w:rPr>
        <w:t>21</w:t>
      </w:r>
      <w:r>
        <w:rPr>
          <w:rFonts w:hint="eastAsia" w:ascii="仿宋" w:hAnsi="仿宋" w:eastAsia="仿宋" w:cs="仿宋"/>
          <w:color w:val="auto"/>
          <w:szCs w:val="21"/>
        </w:rPr>
        <w:t>日起至</w:t>
      </w:r>
      <w:r>
        <w:rPr>
          <w:rFonts w:hint="eastAsia" w:ascii="仿宋" w:hAnsi="仿宋" w:eastAsia="仿宋" w:cs="仿宋"/>
          <w:color w:val="auto"/>
          <w:szCs w:val="21"/>
          <w:lang w:eastAsia="zh-CN"/>
        </w:rPr>
        <w:t>202</w:t>
      </w:r>
      <w:r>
        <w:rPr>
          <w:rFonts w:hint="eastAsia" w:ascii="仿宋" w:hAnsi="仿宋" w:eastAsia="仿宋" w:cs="仿宋"/>
          <w:color w:val="auto"/>
          <w:szCs w:val="21"/>
          <w:lang w:val="en-US" w:eastAsia="zh-CN"/>
        </w:rPr>
        <w:t>6</w:t>
      </w:r>
      <w:r>
        <w:rPr>
          <w:rFonts w:hint="eastAsia" w:ascii="仿宋" w:hAnsi="仿宋" w:eastAsia="仿宋" w:cs="仿宋"/>
          <w:color w:val="auto"/>
          <w:szCs w:val="21"/>
          <w:lang w:eastAsia="zh-CN"/>
        </w:rPr>
        <w:t>年</w:t>
      </w:r>
      <w:r>
        <w:rPr>
          <w:rFonts w:hint="eastAsia" w:ascii="仿宋" w:hAnsi="仿宋" w:eastAsia="仿宋" w:cs="仿宋"/>
          <w:color w:val="auto"/>
          <w:szCs w:val="21"/>
          <w:lang w:val="en-US" w:eastAsia="zh-CN"/>
        </w:rPr>
        <w:t>09</w:t>
      </w:r>
      <w:r>
        <w:rPr>
          <w:rFonts w:hint="eastAsia" w:ascii="仿宋" w:hAnsi="仿宋" w:eastAsia="仿宋" w:cs="仿宋"/>
          <w:color w:val="auto"/>
          <w:szCs w:val="21"/>
          <w:lang w:eastAsia="zh-CN"/>
        </w:rPr>
        <w:t>月</w:t>
      </w:r>
      <w:r>
        <w:rPr>
          <w:rFonts w:hint="eastAsia" w:ascii="仿宋" w:hAnsi="仿宋" w:eastAsia="仿宋" w:cs="仿宋"/>
          <w:color w:val="auto"/>
          <w:szCs w:val="21"/>
          <w:lang w:val="en-US" w:eastAsia="zh-CN"/>
        </w:rPr>
        <w:t>28</w:t>
      </w:r>
      <w:r>
        <w:rPr>
          <w:rFonts w:hint="eastAsia" w:ascii="仿宋" w:hAnsi="仿宋" w:eastAsia="仿宋" w:cs="仿宋"/>
          <w:color w:val="auto"/>
          <w:szCs w:val="21"/>
        </w:rPr>
        <w:t>日每天上午8:30-12:00、下午14:00-16:30（北京时间，法定节假日除外）。</w:t>
      </w:r>
    </w:p>
    <w:p w14:paraId="1A8BCA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2.</w:t>
      </w:r>
      <w:r>
        <w:rPr>
          <w:rFonts w:hint="eastAsia" w:ascii="仿宋" w:hAnsi="仿宋" w:eastAsia="仿宋" w:cs="仿宋"/>
          <w:color w:val="auto"/>
          <w:szCs w:val="21"/>
        </w:rPr>
        <w:t>地点：线上方式</w:t>
      </w:r>
    </w:p>
    <w:p w14:paraId="34A2550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3.</w:t>
      </w:r>
      <w:r>
        <w:rPr>
          <w:rFonts w:hint="eastAsia" w:ascii="仿宋" w:hAnsi="仿宋" w:eastAsia="仿宋" w:cs="仿宋"/>
          <w:color w:val="auto"/>
          <w:szCs w:val="21"/>
        </w:rPr>
        <w:t>方式：</w:t>
      </w:r>
      <w:r>
        <w:rPr>
          <w:rFonts w:hint="eastAsia" w:ascii="仿宋" w:hAnsi="仿宋" w:eastAsia="仿宋" w:cs="仿宋"/>
          <w:color w:val="auto"/>
          <w:kern w:val="0"/>
          <w:szCs w:val="21"/>
          <w:lang w:eastAsia="zh-CN"/>
        </w:rPr>
        <w:t>供应商</w:t>
      </w:r>
      <w:r>
        <w:rPr>
          <w:rFonts w:hint="eastAsia" w:ascii="仿宋" w:hAnsi="仿宋" w:eastAsia="仿宋" w:cs="仿宋"/>
          <w:color w:val="auto"/>
          <w:kern w:val="0"/>
          <w:szCs w:val="21"/>
        </w:rPr>
        <w:t>请在湖北省成套招标股份有限公司官网（https://www.hubeibidding.com/）本项目公告最下方“相关下载”版块内点击下载按钮登录并提交登记信息，信息审核通过后即可下载文件。注：①文件获取的具体操作流程可在湖北省成套招标股份有限公司门户网站首页右侧“下载专区”下载《线上获取标书操作指引》查看；②线上获取文件应填写、上传的材料包括：法定代表人授权书加盖公章扫描件、被授权人身份证正反面照片（被授权人应与登录账号的联系人为同一人）、如需缴纳费用的还应提供付款凭证截图或照片，同时请扫码填写开票信息，电子发票开具后将以邮件形式发送至注册邮箱。</w:t>
      </w:r>
    </w:p>
    <w:p w14:paraId="063977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4.</w:t>
      </w:r>
      <w:r>
        <w:rPr>
          <w:rFonts w:hint="eastAsia" w:ascii="仿宋" w:hAnsi="仿宋" w:eastAsia="仿宋" w:cs="仿宋"/>
          <w:color w:val="auto"/>
          <w:szCs w:val="21"/>
        </w:rPr>
        <w:t>售价：人民币</w:t>
      </w:r>
      <w:r>
        <w:rPr>
          <w:rFonts w:hint="eastAsia" w:ascii="仿宋" w:hAnsi="仿宋" w:eastAsia="仿宋" w:cs="仿宋"/>
          <w:color w:val="auto"/>
          <w:szCs w:val="21"/>
          <w:u w:val="single"/>
        </w:rPr>
        <w:t>500</w:t>
      </w:r>
      <w:r>
        <w:rPr>
          <w:rFonts w:hint="eastAsia" w:ascii="仿宋" w:hAnsi="仿宋" w:eastAsia="仿宋" w:cs="仿宋"/>
          <w:color w:val="auto"/>
          <w:szCs w:val="21"/>
        </w:rPr>
        <w:t xml:space="preserve">元，售后不退 </w:t>
      </w:r>
      <w:permEnd w:id="0"/>
    </w:p>
    <w:p w14:paraId="2F60F000">
      <w:pPr>
        <w:pStyle w:val="3"/>
        <w:pageBreakBefore w:val="0"/>
        <w:kinsoku/>
        <w:wordWrap/>
        <w:overflowPunct/>
        <w:topLinePunct w:val="0"/>
        <w:autoSpaceDE/>
        <w:autoSpaceDN/>
        <w:bidi w:val="0"/>
        <w:spacing w:before="0" w:after="0" w:line="360" w:lineRule="auto"/>
        <w:ind w:left="0" w:leftChars="0"/>
        <w:textAlignment w:val="auto"/>
        <w:rPr>
          <w:rFonts w:hint="eastAsia" w:ascii="仿宋" w:hAnsi="仿宋" w:eastAsia="仿宋" w:cs="仿宋"/>
          <w:color w:val="auto"/>
          <w:sz w:val="21"/>
          <w:szCs w:val="21"/>
        </w:rPr>
      </w:pPr>
      <w:bookmarkStart w:id="21" w:name="_Toc27066"/>
      <w:bookmarkStart w:id="22" w:name="_Toc149035905"/>
      <w:bookmarkStart w:id="23" w:name="_Toc7731"/>
      <w:r>
        <w:rPr>
          <w:rFonts w:hint="eastAsia" w:ascii="仿宋" w:hAnsi="仿宋" w:eastAsia="仿宋" w:cs="仿宋"/>
          <w:color w:val="auto"/>
          <w:sz w:val="21"/>
          <w:szCs w:val="21"/>
        </w:rPr>
        <w:t>四、响应文件提交</w:t>
      </w:r>
      <w:bookmarkEnd w:id="16"/>
      <w:bookmarkEnd w:id="21"/>
      <w:bookmarkEnd w:id="22"/>
      <w:bookmarkEnd w:id="23"/>
    </w:p>
    <w:p w14:paraId="4FE5CB20">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u w:val="single"/>
        </w:rPr>
      </w:pPr>
      <w:r>
        <w:rPr>
          <w:rFonts w:hint="eastAsia" w:ascii="仿宋" w:hAnsi="仿宋" w:eastAsia="仿宋" w:cs="仿宋"/>
          <w:color w:val="auto"/>
          <w:szCs w:val="21"/>
          <w:u w:val="single"/>
          <w:lang w:eastAsia="zh-CN"/>
        </w:rPr>
        <w:t>1.</w:t>
      </w:r>
      <w:r>
        <w:rPr>
          <w:rFonts w:hint="eastAsia" w:ascii="仿宋" w:hAnsi="仿宋" w:eastAsia="仿宋" w:cs="仿宋"/>
          <w:color w:val="auto"/>
          <w:szCs w:val="21"/>
          <w:u w:val="single"/>
        </w:rPr>
        <w:t>开始时间：</w:t>
      </w:r>
      <w:r>
        <w:rPr>
          <w:rFonts w:hint="eastAsia" w:ascii="仿宋" w:hAnsi="仿宋" w:eastAsia="仿宋" w:cs="仿宋"/>
          <w:color w:val="auto"/>
          <w:szCs w:val="21"/>
          <w:u w:val="single"/>
          <w:lang w:eastAsia="zh-CN"/>
        </w:rPr>
        <w:t>202</w:t>
      </w:r>
      <w:r>
        <w:rPr>
          <w:rFonts w:hint="eastAsia" w:ascii="仿宋" w:hAnsi="仿宋" w:eastAsia="仿宋" w:cs="仿宋"/>
          <w:color w:val="auto"/>
          <w:szCs w:val="21"/>
          <w:u w:val="single"/>
          <w:lang w:val="en-US" w:eastAsia="zh-CN"/>
        </w:rPr>
        <w:t>6</w:t>
      </w:r>
      <w:r>
        <w:rPr>
          <w:rFonts w:hint="eastAsia" w:ascii="仿宋" w:hAnsi="仿宋" w:eastAsia="仿宋" w:cs="仿宋"/>
          <w:color w:val="auto"/>
          <w:szCs w:val="21"/>
          <w:u w:val="single"/>
          <w:lang w:eastAsia="zh-CN"/>
        </w:rPr>
        <w:t>年</w:t>
      </w:r>
      <w:r>
        <w:rPr>
          <w:rFonts w:hint="eastAsia" w:ascii="仿宋" w:hAnsi="仿宋" w:eastAsia="仿宋"/>
          <w:color w:val="auto"/>
          <w:szCs w:val="21"/>
          <w:u w:val="single"/>
          <w:lang w:val="en-US" w:eastAsia="zh-CN"/>
        </w:rPr>
        <w:t>10</w:t>
      </w:r>
      <w:r>
        <w:rPr>
          <w:rFonts w:hint="eastAsia" w:ascii="仿宋" w:hAnsi="仿宋" w:eastAsia="仿宋"/>
          <w:color w:val="auto"/>
          <w:szCs w:val="21"/>
          <w:u w:val="single"/>
          <w:lang w:eastAsia="zh-CN"/>
        </w:rPr>
        <w:t>月</w:t>
      </w:r>
      <w:r>
        <w:rPr>
          <w:rFonts w:hint="eastAsia" w:ascii="仿宋" w:hAnsi="仿宋" w:eastAsia="仿宋"/>
          <w:color w:val="auto"/>
          <w:szCs w:val="21"/>
          <w:u w:val="single"/>
          <w:lang w:val="en-US" w:eastAsia="zh-CN"/>
        </w:rPr>
        <w:t>08</w:t>
      </w:r>
      <w:r>
        <w:rPr>
          <w:rFonts w:hint="eastAsia" w:ascii="仿宋" w:hAnsi="仿宋" w:eastAsia="仿宋"/>
          <w:bCs/>
          <w:color w:val="auto"/>
          <w:szCs w:val="21"/>
          <w:u w:val="single"/>
        </w:rPr>
        <w:t>日</w:t>
      </w:r>
      <w:r>
        <w:rPr>
          <w:rFonts w:hint="eastAsia" w:ascii="仿宋" w:hAnsi="仿宋" w:eastAsia="仿宋" w:cs="仿宋"/>
          <w:color w:val="auto"/>
          <w:szCs w:val="21"/>
          <w:u w:val="single"/>
          <w:lang w:val="en-US" w:eastAsia="zh-CN"/>
        </w:rPr>
        <w:t>14</w:t>
      </w:r>
      <w:r>
        <w:rPr>
          <w:rFonts w:hint="eastAsia" w:ascii="仿宋" w:hAnsi="仿宋" w:eastAsia="仿宋" w:cs="仿宋"/>
          <w:color w:val="auto"/>
          <w:szCs w:val="21"/>
          <w:u w:val="single"/>
        </w:rPr>
        <w:t>点00分（北京时间）</w:t>
      </w:r>
    </w:p>
    <w:p w14:paraId="7B38A168">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u w:val="single"/>
        </w:rPr>
      </w:pPr>
      <w:r>
        <w:rPr>
          <w:rFonts w:hint="eastAsia" w:ascii="仿宋" w:hAnsi="仿宋" w:eastAsia="仿宋" w:cs="仿宋"/>
          <w:color w:val="auto"/>
          <w:szCs w:val="21"/>
          <w:u w:val="single"/>
          <w:lang w:eastAsia="zh-CN"/>
        </w:rPr>
        <w:t>2.</w:t>
      </w:r>
      <w:r>
        <w:rPr>
          <w:rFonts w:hint="eastAsia" w:ascii="仿宋" w:hAnsi="仿宋" w:eastAsia="仿宋" w:cs="仿宋"/>
          <w:color w:val="auto"/>
          <w:szCs w:val="21"/>
          <w:u w:val="single"/>
        </w:rPr>
        <w:t>截止时间：</w:t>
      </w:r>
      <w:r>
        <w:rPr>
          <w:rFonts w:hint="eastAsia" w:ascii="仿宋" w:hAnsi="仿宋" w:eastAsia="仿宋" w:cs="仿宋"/>
          <w:color w:val="auto"/>
          <w:szCs w:val="21"/>
          <w:u w:val="single"/>
          <w:lang w:eastAsia="zh-CN"/>
        </w:rPr>
        <w:t>202</w:t>
      </w:r>
      <w:r>
        <w:rPr>
          <w:rFonts w:hint="eastAsia" w:ascii="仿宋" w:hAnsi="仿宋" w:eastAsia="仿宋" w:cs="仿宋"/>
          <w:color w:val="auto"/>
          <w:szCs w:val="21"/>
          <w:u w:val="single"/>
          <w:lang w:val="en-US" w:eastAsia="zh-CN"/>
        </w:rPr>
        <w:t>6</w:t>
      </w:r>
      <w:r>
        <w:rPr>
          <w:rFonts w:hint="eastAsia" w:ascii="仿宋" w:hAnsi="仿宋" w:eastAsia="仿宋" w:cs="仿宋"/>
          <w:color w:val="auto"/>
          <w:szCs w:val="21"/>
          <w:u w:val="single"/>
          <w:lang w:eastAsia="zh-CN"/>
        </w:rPr>
        <w:t>年</w:t>
      </w:r>
      <w:r>
        <w:rPr>
          <w:rFonts w:hint="eastAsia" w:ascii="仿宋" w:hAnsi="仿宋" w:eastAsia="仿宋"/>
          <w:color w:val="auto"/>
          <w:szCs w:val="21"/>
          <w:u w:val="single"/>
          <w:lang w:val="en-US" w:eastAsia="zh-CN"/>
        </w:rPr>
        <w:t>10</w:t>
      </w:r>
      <w:r>
        <w:rPr>
          <w:rFonts w:hint="eastAsia" w:ascii="仿宋" w:hAnsi="仿宋" w:eastAsia="仿宋"/>
          <w:color w:val="auto"/>
          <w:szCs w:val="21"/>
          <w:u w:val="single"/>
          <w:lang w:eastAsia="zh-CN"/>
        </w:rPr>
        <w:t>月</w:t>
      </w:r>
      <w:r>
        <w:rPr>
          <w:rFonts w:hint="eastAsia" w:ascii="仿宋" w:hAnsi="仿宋" w:eastAsia="仿宋"/>
          <w:color w:val="auto"/>
          <w:szCs w:val="21"/>
          <w:u w:val="single"/>
          <w:lang w:val="en-US" w:eastAsia="zh-CN"/>
        </w:rPr>
        <w:t>08</w:t>
      </w:r>
      <w:r>
        <w:rPr>
          <w:rFonts w:hint="eastAsia" w:ascii="仿宋" w:hAnsi="仿宋" w:eastAsia="仿宋"/>
          <w:bCs/>
          <w:color w:val="auto"/>
          <w:szCs w:val="21"/>
          <w:u w:val="single"/>
        </w:rPr>
        <w:t>日</w:t>
      </w:r>
      <w:r>
        <w:rPr>
          <w:rFonts w:hint="eastAsia" w:ascii="仿宋" w:hAnsi="仿宋" w:eastAsia="仿宋" w:cs="仿宋"/>
          <w:color w:val="auto"/>
          <w:szCs w:val="21"/>
          <w:u w:val="single"/>
          <w:lang w:val="en-US" w:eastAsia="zh-CN"/>
        </w:rPr>
        <w:t>14</w:t>
      </w:r>
      <w:r>
        <w:rPr>
          <w:rFonts w:hint="eastAsia" w:ascii="仿宋" w:hAnsi="仿宋" w:eastAsia="仿宋" w:cs="仿宋"/>
          <w:color w:val="auto"/>
          <w:szCs w:val="21"/>
          <w:u w:val="single"/>
        </w:rPr>
        <w:t>点30分（北京时间）</w:t>
      </w:r>
    </w:p>
    <w:p w14:paraId="34218B8F">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u w:val="single"/>
        </w:rPr>
      </w:pPr>
      <w:r>
        <w:rPr>
          <w:rFonts w:hint="eastAsia" w:ascii="仿宋" w:hAnsi="仿宋" w:eastAsia="仿宋" w:cs="仿宋"/>
          <w:color w:val="auto"/>
          <w:szCs w:val="21"/>
          <w:u w:val="single"/>
          <w:lang w:eastAsia="zh-CN"/>
        </w:rPr>
        <w:t>3.</w:t>
      </w:r>
      <w:r>
        <w:rPr>
          <w:rFonts w:hint="eastAsia" w:ascii="仿宋" w:hAnsi="仿宋" w:eastAsia="仿宋" w:cs="仿宋"/>
          <w:color w:val="auto"/>
          <w:szCs w:val="21"/>
          <w:u w:val="single"/>
        </w:rPr>
        <w:t>地点：湖北省成套招标股份有限公司</w:t>
      </w:r>
      <w:r>
        <w:rPr>
          <w:rFonts w:hint="eastAsia" w:ascii="仿宋" w:hAnsi="仿宋" w:eastAsia="仿宋" w:cs="仿宋"/>
          <w:color w:val="auto"/>
          <w:szCs w:val="21"/>
          <w:u w:val="single"/>
          <w:lang w:val="en-US" w:eastAsia="zh-CN"/>
        </w:rPr>
        <w:t>10</w:t>
      </w:r>
      <w:r>
        <w:rPr>
          <w:rFonts w:hint="eastAsia" w:ascii="仿宋" w:hAnsi="仿宋" w:eastAsia="仿宋" w:cs="仿宋"/>
          <w:color w:val="auto"/>
          <w:szCs w:val="21"/>
          <w:u w:val="single"/>
        </w:rPr>
        <w:t>楼</w:t>
      </w:r>
      <w:r>
        <w:rPr>
          <w:rFonts w:hint="eastAsia" w:ascii="仿宋" w:hAnsi="仿宋" w:eastAsia="仿宋" w:cs="仿宋"/>
          <w:color w:val="auto"/>
          <w:szCs w:val="21"/>
          <w:u w:val="single"/>
          <w:lang w:val="en-US" w:eastAsia="zh-CN"/>
        </w:rPr>
        <w:t>1001</w:t>
      </w:r>
      <w:r>
        <w:rPr>
          <w:rFonts w:hint="eastAsia" w:ascii="仿宋" w:hAnsi="仿宋" w:eastAsia="仿宋" w:cs="仿宋"/>
          <w:color w:val="auto"/>
          <w:szCs w:val="21"/>
          <w:u w:val="single"/>
        </w:rPr>
        <w:t>会议室（武汉市武昌区东湖西路特2号平安财富中心B座）</w:t>
      </w:r>
    </w:p>
    <w:p w14:paraId="69AEDABF">
      <w:pPr>
        <w:pStyle w:val="3"/>
        <w:pageBreakBefore w:val="0"/>
        <w:kinsoku/>
        <w:wordWrap/>
        <w:overflowPunct/>
        <w:topLinePunct w:val="0"/>
        <w:autoSpaceDE/>
        <w:autoSpaceDN/>
        <w:bidi w:val="0"/>
        <w:spacing w:before="0" w:after="0" w:line="360" w:lineRule="auto"/>
        <w:ind w:left="0" w:leftChars="0"/>
        <w:textAlignment w:val="auto"/>
        <w:rPr>
          <w:rFonts w:hint="eastAsia" w:ascii="仿宋" w:hAnsi="仿宋" w:eastAsia="仿宋" w:cs="仿宋"/>
          <w:color w:val="auto"/>
          <w:sz w:val="21"/>
          <w:szCs w:val="21"/>
        </w:rPr>
      </w:pPr>
      <w:bookmarkStart w:id="24" w:name="_Toc149035906"/>
      <w:bookmarkStart w:id="25" w:name="_Toc30574"/>
      <w:bookmarkStart w:id="26" w:name="_Toc25288"/>
      <w:r>
        <w:rPr>
          <w:rFonts w:hint="eastAsia" w:ascii="仿宋" w:hAnsi="仿宋" w:eastAsia="仿宋" w:cs="仿宋"/>
          <w:color w:val="auto"/>
          <w:sz w:val="21"/>
          <w:szCs w:val="21"/>
        </w:rPr>
        <w:t>五、</w:t>
      </w:r>
      <w:bookmarkEnd w:id="17"/>
      <w:bookmarkEnd w:id="18"/>
      <w:bookmarkEnd w:id="19"/>
      <w:bookmarkEnd w:id="20"/>
      <w:r>
        <w:rPr>
          <w:rFonts w:hint="eastAsia" w:ascii="仿宋" w:hAnsi="仿宋" w:eastAsia="仿宋" w:cs="仿宋"/>
          <w:color w:val="auto"/>
          <w:sz w:val="21"/>
          <w:szCs w:val="21"/>
        </w:rPr>
        <w:t>开启</w:t>
      </w:r>
      <w:bookmarkEnd w:id="24"/>
      <w:bookmarkEnd w:id="25"/>
      <w:bookmarkEnd w:id="26"/>
    </w:p>
    <w:p w14:paraId="3BB8DFE7">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u w:val="single"/>
        </w:rPr>
      </w:pPr>
      <w:r>
        <w:rPr>
          <w:rFonts w:hint="eastAsia" w:ascii="仿宋" w:hAnsi="仿宋" w:eastAsia="仿宋" w:cs="仿宋"/>
          <w:color w:val="auto"/>
          <w:szCs w:val="21"/>
          <w:u w:val="single"/>
          <w:lang w:eastAsia="zh-CN"/>
        </w:rPr>
        <w:t>1.</w:t>
      </w:r>
      <w:r>
        <w:rPr>
          <w:rFonts w:hint="eastAsia" w:ascii="仿宋" w:hAnsi="仿宋" w:eastAsia="仿宋" w:cs="仿宋"/>
          <w:color w:val="auto"/>
          <w:szCs w:val="21"/>
          <w:u w:val="single"/>
        </w:rPr>
        <w:t>时间：</w:t>
      </w:r>
      <w:r>
        <w:rPr>
          <w:rFonts w:hint="eastAsia" w:ascii="仿宋" w:hAnsi="仿宋" w:eastAsia="仿宋" w:cs="仿宋"/>
          <w:color w:val="auto"/>
          <w:szCs w:val="21"/>
          <w:u w:val="single"/>
          <w:lang w:eastAsia="zh-CN"/>
        </w:rPr>
        <w:t>202</w:t>
      </w:r>
      <w:r>
        <w:rPr>
          <w:rFonts w:hint="eastAsia" w:ascii="仿宋" w:hAnsi="仿宋" w:eastAsia="仿宋" w:cs="仿宋"/>
          <w:color w:val="auto"/>
          <w:szCs w:val="21"/>
          <w:u w:val="single"/>
          <w:lang w:val="en-US" w:eastAsia="zh-CN"/>
        </w:rPr>
        <w:t>6</w:t>
      </w:r>
      <w:r>
        <w:rPr>
          <w:rFonts w:hint="eastAsia" w:ascii="仿宋" w:hAnsi="仿宋" w:eastAsia="仿宋" w:cs="仿宋"/>
          <w:color w:val="auto"/>
          <w:szCs w:val="21"/>
          <w:u w:val="single"/>
          <w:lang w:eastAsia="zh-CN"/>
        </w:rPr>
        <w:t>年</w:t>
      </w:r>
      <w:r>
        <w:rPr>
          <w:rFonts w:hint="eastAsia" w:ascii="仿宋" w:hAnsi="仿宋" w:eastAsia="仿宋"/>
          <w:color w:val="auto"/>
          <w:szCs w:val="21"/>
          <w:u w:val="single"/>
          <w:lang w:val="en-US" w:eastAsia="zh-CN"/>
        </w:rPr>
        <w:t>10</w:t>
      </w:r>
      <w:r>
        <w:rPr>
          <w:rFonts w:hint="eastAsia" w:ascii="仿宋" w:hAnsi="仿宋" w:eastAsia="仿宋"/>
          <w:color w:val="auto"/>
          <w:szCs w:val="21"/>
          <w:u w:val="single"/>
          <w:lang w:eastAsia="zh-CN"/>
        </w:rPr>
        <w:t>月</w:t>
      </w:r>
      <w:r>
        <w:rPr>
          <w:rFonts w:hint="eastAsia" w:ascii="仿宋" w:hAnsi="仿宋" w:eastAsia="仿宋"/>
          <w:color w:val="auto"/>
          <w:szCs w:val="21"/>
          <w:u w:val="single"/>
          <w:lang w:val="en-US" w:eastAsia="zh-CN"/>
        </w:rPr>
        <w:t>08</w:t>
      </w:r>
      <w:r>
        <w:rPr>
          <w:rFonts w:hint="eastAsia" w:ascii="仿宋" w:hAnsi="仿宋" w:eastAsia="仿宋"/>
          <w:bCs/>
          <w:color w:val="auto"/>
          <w:szCs w:val="21"/>
          <w:u w:val="single"/>
        </w:rPr>
        <w:t>日</w:t>
      </w:r>
      <w:r>
        <w:rPr>
          <w:rFonts w:hint="eastAsia" w:ascii="仿宋" w:hAnsi="仿宋" w:eastAsia="仿宋" w:cs="仿宋"/>
          <w:color w:val="auto"/>
          <w:szCs w:val="21"/>
          <w:u w:val="single"/>
          <w:lang w:val="en-US" w:eastAsia="zh-CN"/>
        </w:rPr>
        <w:t>14</w:t>
      </w:r>
      <w:r>
        <w:rPr>
          <w:rFonts w:hint="eastAsia" w:ascii="仿宋" w:hAnsi="仿宋" w:eastAsia="仿宋" w:cs="仿宋"/>
          <w:color w:val="auto"/>
          <w:szCs w:val="21"/>
          <w:u w:val="single"/>
        </w:rPr>
        <w:t>点30分（北京时间）</w:t>
      </w:r>
    </w:p>
    <w:p w14:paraId="671414B2">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u w:val="single"/>
        </w:rPr>
      </w:pPr>
      <w:r>
        <w:rPr>
          <w:rFonts w:hint="eastAsia" w:ascii="仿宋" w:hAnsi="仿宋" w:eastAsia="仿宋" w:cs="仿宋"/>
          <w:color w:val="auto"/>
          <w:szCs w:val="21"/>
          <w:u w:val="single"/>
          <w:lang w:eastAsia="zh-CN"/>
        </w:rPr>
        <w:t>2.</w:t>
      </w:r>
      <w:r>
        <w:rPr>
          <w:rFonts w:hint="eastAsia" w:ascii="仿宋" w:hAnsi="仿宋" w:eastAsia="仿宋" w:cs="仿宋"/>
          <w:color w:val="auto"/>
          <w:szCs w:val="21"/>
          <w:u w:val="single"/>
        </w:rPr>
        <w:t>地点：湖北省成套招标股份有限公司</w:t>
      </w:r>
      <w:r>
        <w:rPr>
          <w:rFonts w:hint="eastAsia" w:ascii="仿宋" w:hAnsi="仿宋" w:eastAsia="仿宋" w:cs="仿宋"/>
          <w:color w:val="auto"/>
          <w:szCs w:val="21"/>
          <w:u w:val="single"/>
          <w:lang w:val="en-US" w:eastAsia="zh-CN"/>
        </w:rPr>
        <w:t>10</w:t>
      </w:r>
      <w:r>
        <w:rPr>
          <w:rFonts w:hint="eastAsia" w:ascii="仿宋" w:hAnsi="仿宋" w:eastAsia="仿宋" w:cs="仿宋"/>
          <w:color w:val="auto"/>
          <w:szCs w:val="21"/>
          <w:u w:val="single"/>
        </w:rPr>
        <w:t>楼</w:t>
      </w:r>
      <w:r>
        <w:rPr>
          <w:rFonts w:hint="eastAsia" w:ascii="仿宋" w:hAnsi="仿宋" w:eastAsia="仿宋" w:cs="仿宋"/>
          <w:color w:val="auto"/>
          <w:szCs w:val="21"/>
          <w:u w:val="single"/>
          <w:lang w:val="en-US" w:eastAsia="zh-CN"/>
        </w:rPr>
        <w:t>1001</w:t>
      </w:r>
      <w:r>
        <w:rPr>
          <w:rFonts w:hint="eastAsia" w:ascii="仿宋" w:hAnsi="仿宋" w:eastAsia="仿宋" w:cs="仿宋"/>
          <w:color w:val="auto"/>
          <w:szCs w:val="21"/>
          <w:u w:val="single"/>
        </w:rPr>
        <w:t>会议室（武汉市武昌区东湖西路特2号平安财富中心B座）</w:t>
      </w:r>
    </w:p>
    <w:p w14:paraId="6537BC6C">
      <w:pPr>
        <w:pStyle w:val="3"/>
        <w:pageBreakBefore w:val="0"/>
        <w:kinsoku/>
        <w:wordWrap/>
        <w:overflowPunct/>
        <w:topLinePunct w:val="0"/>
        <w:autoSpaceDE/>
        <w:autoSpaceDN/>
        <w:bidi w:val="0"/>
        <w:spacing w:before="0" w:after="0" w:line="360" w:lineRule="auto"/>
        <w:ind w:left="0" w:leftChars="0"/>
        <w:textAlignment w:val="auto"/>
        <w:rPr>
          <w:rFonts w:hint="eastAsia" w:ascii="仿宋" w:hAnsi="仿宋" w:eastAsia="仿宋" w:cs="仿宋"/>
          <w:color w:val="auto"/>
          <w:sz w:val="21"/>
          <w:szCs w:val="21"/>
        </w:rPr>
      </w:pPr>
      <w:bookmarkStart w:id="27" w:name="_Toc17934"/>
      <w:bookmarkStart w:id="28" w:name="_Toc149035907"/>
      <w:bookmarkStart w:id="29" w:name="_Toc5370"/>
      <w:bookmarkStart w:id="30" w:name="_Toc9282"/>
      <w:bookmarkStart w:id="31" w:name="_Toc334539187"/>
      <w:bookmarkStart w:id="32" w:name="_Toc21911"/>
      <w:bookmarkStart w:id="33" w:name="_Toc259028277"/>
      <w:r>
        <w:rPr>
          <w:rFonts w:hint="eastAsia" w:ascii="仿宋" w:hAnsi="仿宋" w:eastAsia="仿宋" w:cs="仿宋"/>
          <w:color w:val="auto"/>
          <w:sz w:val="21"/>
          <w:szCs w:val="21"/>
        </w:rPr>
        <w:t>六、公告期限</w:t>
      </w:r>
      <w:bookmarkEnd w:id="27"/>
      <w:bookmarkEnd w:id="28"/>
      <w:bookmarkEnd w:id="29"/>
      <w:bookmarkEnd w:id="30"/>
    </w:p>
    <w:p w14:paraId="04AF7F2B">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lang w:val="zh-CN"/>
        </w:rPr>
      </w:pPr>
      <w:bookmarkStart w:id="34" w:name="_Toc1628"/>
      <w:r>
        <w:rPr>
          <w:rFonts w:hint="eastAsia" w:ascii="仿宋" w:hAnsi="仿宋" w:eastAsia="仿宋" w:cs="仿宋"/>
          <w:color w:val="auto"/>
          <w:szCs w:val="21"/>
          <w:lang w:val="zh-CN"/>
        </w:rPr>
        <w:t>自本公告发布之日起3个工作日。</w:t>
      </w:r>
    </w:p>
    <w:p w14:paraId="1F0A30A8">
      <w:pPr>
        <w:pStyle w:val="3"/>
        <w:pageBreakBefore w:val="0"/>
        <w:kinsoku/>
        <w:wordWrap/>
        <w:overflowPunct/>
        <w:topLinePunct w:val="0"/>
        <w:autoSpaceDE/>
        <w:autoSpaceDN/>
        <w:bidi w:val="0"/>
        <w:spacing w:before="0" w:after="0" w:line="360" w:lineRule="auto"/>
        <w:ind w:left="0" w:leftChars="0"/>
        <w:textAlignment w:val="auto"/>
        <w:rPr>
          <w:rFonts w:hint="eastAsia" w:ascii="仿宋" w:hAnsi="仿宋" w:eastAsia="仿宋" w:cs="仿宋"/>
          <w:color w:val="auto"/>
          <w:sz w:val="21"/>
          <w:szCs w:val="21"/>
        </w:rPr>
      </w:pPr>
      <w:bookmarkStart w:id="35" w:name="_Toc10829"/>
      <w:bookmarkStart w:id="36" w:name="_Toc149035908"/>
      <w:bookmarkStart w:id="37" w:name="_Toc21852"/>
      <w:r>
        <w:rPr>
          <w:rFonts w:hint="eastAsia" w:ascii="仿宋" w:hAnsi="仿宋" w:eastAsia="仿宋" w:cs="仿宋"/>
          <w:color w:val="auto"/>
          <w:sz w:val="21"/>
          <w:szCs w:val="21"/>
        </w:rPr>
        <w:t>七、其他补充事宜</w:t>
      </w:r>
      <w:bookmarkEnd w:id="35"/>
      <w:bookmarkEnd w:id="36"/>
      <w:bookmarkEnd w:id="37"/>
    </w:p>
    <w:bookmarkEnd w:id="31"/>
    <w:bookmarkEnd w:id="32"/>
    <w:bookmarkEnd w:id="33"/>
    <w:bookmarkEnd w:id="34"/>
    <w:p w14:paraId="6C07DFB7">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 w:val="21"/>
          <w:szCs w:val="21"/>
        </w:rPr>
      </w:pPr>
      <w:bookmarkStart w:id="38" w:name="_Toc14172"/>
      <w:bookmarkStart w:id="39" w:name="_Toc371437767"/>
      <w:bookmarkStart w:id="40" w:name="_Toc13007"/>
      <w:bookmarkStart w:id="41" w:name="_Toc10775"/>
      <w:r>
        <w:rPr>
          <w:rFonts w:hint="eastAsia" w:ascii="仿宋" w:hAnsi="仿宋" w:eastAsia="仿宋" w:cs="仿宋"/>
          <w:color w:val="auto"/>
          <w:sz w:val="21"/>
          <w:szCs w:val="21"/>
          <w:lang w:eastAsia="zh-CN"/>
        </w:rPr>
        <w:t>1.</w:t>
      </w:r>
      <w:r>
        <w:rPr>
          <w:rFonts w:hint="eastAsia" w:ascii="仿宋" w:hAnsi="仿宋" w:eastAsia="仿宋" w:cs="仿宋"/>
          <w:color w:val="auto"/>
          <w:sz w:val="21"/>
          <w:szCs w:val="21"/>
        </w:rPr>
        <w:t>递交服务费的</w:t>
      </w:r>
      <w:r>
        <w:rPr>
          <w:rFonts w:hint="eastAsia" w:ascii="仿宋" w:hAnsi="仿宋" w:eastAsia="仿宋" w:cs="仿宋"/>
          <w:color w:val="auto"/>
          <w:sz w:val="21"/>
          <w:szCs w:val="21"/>
          <w:lang w:val="en-US" w:eastAsia="zh-CN"/>
        </w:rPr>
        <w:t>账户</w:t>
      </w:r>
      <w:r>
        <w:rPr>
          <w:rFonts w:hint="eastAsia" w:ascii="仿宋" w:hAnsi="仿宋" w:eastAsia="仿宋" w:cs="仿宋"/>
          <w:color w:val="auto"/>
          <w:sz w:val="21"/>
          <w:szCs w:val="21"/>
        </w:rPr>
        <w:t>信息</w:t>
      </w:r>
    </w:p>
    <w:p w14:paraId="53D1B2C2">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收 款 人：湖北省成套招标股份有限公司</w:t>
      </w:r>
    </w:p>
    <w:p w14:paraId="42685D2C">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账 号：572976591978</w:t>
      </w:r>
    </w:p>
    <w:p w14:paraId="3A46718B">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rPr>
        <w:t>开 户 行：中国银行武汉中南路支行</w:t>
      </w:r>
    </w:p>
    <w:p w14:paraId="3128F763">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2.</w:t>
      </w:r>
      <w:r>
        <w:rPr>
          <w:rFonts w:hint="eastAsia" w:ascii="仿宋" w:hAnsi="仿宋" w:eastAsia="仿宋" w:cs="仿宋"/>
          <w:color w:val="auto"/>
          <w:szCs w:val="21"/>
        </w:rPr>
        <w:t>参加要求：届时敬请参加本项目的授权代表携本人二代身份证原件及响应文件出席开标会议</w:t>
      </w:r>
    </w:p>
    <w:p w14:paraId="735BB2B7">
      <w:pPr>
        <w:pageBreakBefore w:val="0"/>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szCs w:val="21"/>
          <w:lang w:eastAsia="zh-CN"/>
        </w:rPr>
        <w:t>3.</w:t>
      </w:r>
      <w:r>
        <w:rPr>
          <w:rFonts w:hint="eastAsia" w:ascii="仿宋" w:hAnsi="仿宋" w:eastAsia="仿宋" w:cs="仿宋"/>
          <w:color w:val="auto"/>
          <w:szCs w:val="21"/>
        </w:rPr>
        <w:t>信息发布媒体：中国招标投标公共服务平台/湖北省成套招标股份有限公司门户网</w:t>
      </w:r>
    </w:p>
    <w:p w14:paraId="3FF995C9">
      <w:pPr>
        <w:pStyle w:val="3"/>
        <w:pageBreakBefore w:val="0"/>
        <w:kinsoku/>
        <w:wordWrap/>
        <w:overflowPunct/>
        <w:topLinePunct w:val="0"/>
        <w:autoSpaceDE/>
        <w:autoSpaceDN/>
        <w:bidi w:val="0"/>
        <w:spacing w:before="0" w:after="0" w:line="360" w:lineRule="auto"/>
        <w:ind w:left="0" w:leftChars="0"/>
        <w:textAlignment w:val="auto"/>
        <w:rPr>
          <w:rFonts w:hint="eastAsia" w:ascii="仿宋" w:hAnsi="仿宋" w:eastAsia="仿宋" w:cs="仿宋"/>
          <w:color w:val="auto"/>
          <w:sz w:val="21"/>
          <w:szCs w:val="21"/>
        </w:rPr>
      </w:pPr>
      <w:bookmarkStart w:id="42" w:name="_Toc22403"/>
      <w:bookmarkStart w:id="43" w:name="_Toc149035909"/>
      <w:bookmarkStart w:id="44" w:name="_Toc6811"/>
      <w:r>
        <w:rPr>
          <w:rFonts w:hint="eastAsia" w:ascii="仿宋" w:hAnsi="仿宋" w:eastAsia="仿宋" w:cs="仿宋"/>
          <w:color w:val="auto"/>
          <w:sz w:val="21"/>
          <w:szCs w:val="21"/>
        </w:rPr>
        <w:t>八、</w:t>
      </w:r>
      <w:bookmarkEnd w:id="38"/>
      <w:r>
        <w:rPr>
          <w:rFonts w:hint="eastAsia" w:ascii="仿宋" w:hAnsi="仿宋" w:eastAsia="仿宋" w:cs="仿宋"/>
          <w:color w:val="auto"/>
          <w:sz w:val="21"/>
          <w:szCs w:val="21"/>
        </w:rPr>
        <w:t>凡对本次采购提出询问，请按以下方式联系</w:t>
      </w:r>
      <w:bookmarkEnd w:id="42"/>
      <w:bookmarkEnd w:id="43"/>
      <w:bookmarkEnd w:id="44"/>
    </w:p>
    <w:bookmarkEnd w:id="39"/>
    <w:bookmarkEnd w:id="40"/>
    <w:bookmarkEnd w:id="41"/>
    <w:p w14:paraId="64FF0E75">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kern w:val="0"/>
          <w:szCs w:val="21"/>
        </w:rPr>
        <w:t>1.采购人信息</w:t>
      </w:r>
    </w:p>
    <w:p w14:paraId="36617CB6">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kern w:val="0"/>
          <w:szCs w:val="21"/>
        </w:rPr>
        <w:t>名称：湖北省第三人民医院</w:t>
      </w:r>
    </w:p>
    <w:p w14:paraId="2796FA1A">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kern w:val="0"/>
          <w:szCs w:val="21"/>
        </w:rPr>
      </w:pPr>
      <w:r>
        <w:rPr>
          <w:rFonts w:hint="eastAsia" w:ascii="仿宋" w:hAnsi="仿宋" w:eastAsia="仿宋" w:cs="仿宋"/>
          <w:color w:val="auto"/>
          <w:kern w:val="0"/>
          <w:szCs w:val="21"/>
        </w:rPr>
        <w:t>地址：武汉市硚口区中山大道26号</w:t>
      </w:r>
    </w:p>
    <w:p w14:paraId="50EA4BEF">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kern w:val="0"/>
          <w:szCs w:val="21"/>
        </w:rPr>
      </w:pPr>
      <w:r>
        <w:rPr>
          <w:rFonts w:hint="eastAsia" w:ascii="仿宋" w:hAnsi="仿宋" w:eastAsia="仿宋" w:cs="仿宋"/>
          <w:color w:val="auto"/>
          <w:kern w:val="0"/>
          <w:szCs w:val="21"/>
        </w:rPr>
        <w:t>联系方式：027-83743188</w:t>
      </w:r>
      <w:r>
        <w:rPr>
          <w:rFonts w:hint="eastAsia" w:ascii="仿宋" w:hAnsi="仿宋" w:eastAsia="仿宋" w:cs="仿宋"/>
          <w:color w:val="auto"/>
          <w:szCs w:val="21"/>
        </w:rPr>
        <w:t>(王主任)</w:t>
      </w:r>
    </w:p>
    <w:p w14:paraId="46E4F229">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kern w:val="0"/>
          <w:szCs w:val="21"/>
        </w:rPr>
        <w:t>2.采购代理机构信息</w:t>
      </w:r>
    </w:p>
    <w:p w14:paraId="4A7E9635">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kern w:val="0"/>
          <w:szCs w:val="21"/>
        </w:rPr>
        <w:t>名称：湖北省成套招标股份有限公司</w:t>
      </w:r>
    </w:p>
    <w:p w14:paraId="326AFE10">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kern w:val="0"/>
          <w:szCs w:val="21"/>
        </w:rPr>
        <w:t>地址：武汉市武昌区东湖西路特2号平安财富中心B座7楼（东湖大厦正对面）</w:t>
      </w:r>
    </w:p>
    <w:p w14:paraId="0E2B1F40">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szCs w:val="21"/>
        </w:rPr>
      </w:pPr>
      <w:r>
        <w:rPr>
          <w:rFonts w:hint="eastAsia" w:ascii="仿宋" w:hAnsi="仿宋" w:eastAsia="仿宋" w:cs="仿宋"/>
          <w:color w:val="auto"/>
          <w:kern w:val="0"/>
          <w:szCs w:val="21"/>
        </w:rPr>
        <w:t>电话</w:t>
      </w:r>
      <w:r>
        <w:rPr>
          <w:rFonts w:hint="eastAsia" w:ascii="仿宋" w:hAnsi="仿宋" w:eastAsia="仿宋" w:cs="仿宋"/>
          <w:color w:val="auto"/>
          <w:szCs w:val="21"/>
        </w:rPr>
        <w:t>：</w:t>
      </w:r>
      <w:r>
        <w:rPr>
          <w:rFonts w:hint="eastAsia" w:ascii="仿宋" w:hAnsi="仿宋" w:eastAsia="仿宋" w:cs="仿宋"/>
          <w:color w:val="auto"/>
          <w:szCs w:val="21"/>
          <w:lang w:eastAsia="zh-CN"/>
        </w:rPr>
        <w:t>13995553356.</w:t>
      </w:r>
      <w:r>
        <w:rPr>
          <w:rFonts w:hint="eastAsia" w:ascii="仿宋" w:hAnsi="仿宋" w:eastAsia="仿宋" w:cs="仿宋"/>
          <w:color w:val="auto"/>
          <w:szCs w:val="21"/>
          <w:lang w:val="en-US" w:eastAsia="zh-CN"/>
        </w:rPr>
        <w:t>17802718212</w:t>
      </w:r>
    </w:p>
    <w:p w14:paraId="459A0598">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kern w:val="0"/>
          <w:szCs w:val="21"/>
        </w:rPr>
      </w:pPr>
      <w:r>
        <w:rPr>
          <w:rFonts w:hint="eastAsia" w:ascii="仿宋" w:hAnsi="仿宋" w:eastAsia="仿宋" w:cs="仿宋"/>
          <w:color w:val="auto"/>
          <w:kern w:val="0"/>
          <w:szCs w:val="21"/>
        </w:rPr>
        <w:t>3.项目联系方式</w:t>
      </w:r>
    </w:p>
    <w:p w14:paraId="18369F94">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kern w:val="0"/>
          <w:szCs w:val="21"/>
        </w:rPr>
      </w:pPr>
      <w:r>
        <w:rPr>
          <w:rFonts w:hint="eastAsia" w:ascii="仿宋" w:hAnsi="仿宋" w:eastAsia="仿宋" w:cs="仿宋"/>
          <w:color w:val="auto"/>
          <w:kern w:val="0"/>
          <w:szCs w:val="21"/>
          <w:lang w:val="zh-CN"/>
        </w:rPr>
        <w:t>联系人</w:t>
      </w:r>
      <w:r>
        <w:rPr>
          <w:rFonts w:hint="eastAsia" w:ascii="仿宋" w:hAnsi="仿宋" w:eastAsia="仿宋" w:cs="仿宋"/>
          <w:color w:val="auto"/>
          <w:kern w:val="0"/>
          <w:szCs w:val="21"/>
        </w:rPr>
        <w:t>：</w:t>
      </w:r>
      <w:r>
        <w:rPr>
          <w:rFonts w:hint="eastAsia" w:ascii="仿宋" w:hAnsi="仿宋" w:eastAsia="仿宋" w:cs="仿宋"/>
          <w:color w:val="auto"/>
          <w:kern w:val="0"/>
          <w:szCs w:val="21"/>
          <w:lang w:val="en-US" w:eastAsia="zh-CN"/>
        </w:rPr>
        <w:t>李妍钦、</w:t>
      </w:r>
      <w:r>
        <w:rPr>
          <w:rFonts w:hint="eastAsia" w:ascii="仿宋" w:hAnsi="仿宋" w:eastAsia="仿宋" w:cs="仿宋"/>
          <w:color w:val="auto"/>
          <w:kern w:val="0"/>
          <w:szCs w:val="21"/>
        </w:rPr>
        <w:t>谭韫、郭涵度</w:t>
      </w:r>
    </w:p>
    <w:p w14:paraId="68D7987D">
      <w:pPr>
        <w:pageBreakBefore w:val="0"/>
        <w:widowControl/>
        <w:kinsoku/>
        <w:wordWrap/>
        <w:overflowPunct/>
        <w:topLinePunct w:val="0"/>
        <w:autoSpaceDE/>
        <w:autoSpaceDN/>
        <w:bidi w:val="0"/>
        <w:spacing w:line="360" w:lineRule="auto"/>
        <w:ind w:left="0" w:leftChars="0" w:firstLine="420" w:firstLineChars="200"/>
        <w:textAlignment w:val="auto"/>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rPr>
        <w:t>电   话：1399555335</w:t>
      </w:r>
      <w:r>
        <w:rPr>
          <w:rFonts w:hint="eastAsia" w:ascii="仿宋" w:hAnsi="仿宋" w:eastAsia="仿宋" w:cs="仿宋"/>
          <w:color w:val="auto"/>
          <w:kern w:val="0"/>
          <w:szCs w:val="21"/>
          <w:lang w:eastAsia="zh-CN"/>
        </w:rPr>
        <w:t>6.</w:t>
      </w:r>
      <w:r>
        <w:rPr>
          <w:rFonts w:hint="eastAsia" w:ascii="仿宋" w:hAnsi="仿宋" w:eastAsia="仿宋" w:cs="仿宋"/>
          <w:color w:val="auto"/>
          <w:kern w:val="0"/>
          <w:szCs w:val="21"/>
          <w:lang w:val="en-US" w:eastAsia="zh-CN"/>
        </w:rPr>
        <w:t>17802718212.969931455@qq.com</w:t>
      </w:r>
    </w:p>
    <w:p w14:paraId="07354666">
      <w:pPr>
        <w:widowControl/>
        <w:spacing w:line="360" w:lineRule="auto"/>
        <w:ind w:firstLine="420" w:firstLineChars="200"/>
        <w:rPr>
          <w:rFonts w:ascii="仿宋" w:hAnsi="仿宋" w:eastAsia="仿宋"/>
          <w:color w:val="auto"/>
          <w:szCs w:val="21"/>
        </w:rPr>
      </w:pPr>
    </w:p>
    <w:p w14:paraId="5F76EA69">
      <w:pPr>
        <w:widowControl/>
        <w:jc w:val="left"/>
        <w:rPr>
          <w:rFonts w:ascii="仿宋" w:hAnsi="仿宋" w:eastAsia="仿宋"/>
          <w:color w:val="auto"/>
        </w:rPr>
      </w:pPr>
      <w:r>
        <w:rPr>
          <w:rFonts w:ascii="仿宋" w:hAnsi="仿宋" w:eastAsia="仿宋"/>
          <w:color w:val="auto"/>
        </w:rPr>
        <w:br w:type="page"/>
      </w:r>
    </w:p>
    <w:bookmarkEnd w:id="2"/>
    <w:p w14:paraId="136A320B">
      <w:pPr>
        <w:pStyle w:val="2"/>
        <w:numPr>
          <w:ilvl w:val="0"/>
          <w:numId w:val="1"/>
        </w:numPr>
        <w:jc w:val="center"/>
        <w:rPr>
          <w:rFonts w:ascii="仿宋" w:hAnsi="仿宋" w:eastAsia="仿宋" w:cs="宋体"/>
          <w:color w:val="auto"/>
          <w:sz w:val="32"/>
          <w:szCs w:val="32"/>
        </w:rPr>
      </w:pPr>
      <w:bookmarkStart w:id="45" w:name="_Toc149035910"/>
      <w:bookmarkStart w:id="46" w:name="_Toc2642"/>
      <w:r>
        <w:rPr>
          <w:rFonts w:hint="eastAsia" w:ascii="仿宋" w:hAnsi="仿宋" w:eastAsia="仿宋" w:cs="宋体"/>
          <w:color w:val="auto"/>
          <w:sz w:val="36"/>
          <w:szCs w:val="36"/>
        </w:rPr>
        <w:t>供应商须知</w:t>
      </w:r>
      <w:bookmarkEnd w:id="45"/>
      <w:bookmarkEnd w:id="46"/>
    </w:p>
    <w:p w14:paraId="091B80E9">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outlineLvl w:val="1"/>
        <w:rPr>
          <w:rFonts w:hint="eastAsia" w:ascii="仿宋" w:hAnsi="仿宋" w:eastAsia="仿宋" w:cs="仿宋"/>
          <w:b/>
          <w:color w:val="auto"/>
          <w:sz w:val="21"/>
          <w:szCs w:val="21"/>
          <w:lang w:val="zh-CN"/>
        </w:rPr>
      </w:pPr>
      <w:bookmarkStart w:id="47" w:name="_Toc17663"/>
      <w:bookmarkStart w:id="48" w:name="_Toc149035911"/>
      <w:r>
        <w:rPr>
          <w:rFonts w:hint="eastAsia" w:ascii="仿宋" w:hAnsi="仿宋" w:eastAsia="仿宋" w:cs="仿宋"/>
          <w:b/>
          <w:color w:val="auto"/>
          <w:sz w:val="21"/>
          <w:szCs w:val="21"/>
        </w:rPr>
        <w:t>《供应商须知前附表》</w:t>
      </w:r>
      <w:bookmarkEnd w:id="47"/>
      <w:bookmarkEnd w:id="48"/>
    </w:p>
    <w:p w14:paraId="5B5624C4">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firstLine="420" w:firstLineChars="20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rPr>
        <w:t>磋商供应商应仔细阅读竞争性磋商采购文件的第二章“供应商须知”，下面所列资料是对“供应商须知”的具体补充和说明。</w:t>
      </w:r>
      <w:r>
        <w:rPr>
          <w:rFonts w:hint="eastAsia" w:ascii="仿宋" w:hAnsi="仿宋" w:eastAsia="仿宋" w:cs="仿宋"/>
          <w:color w:val="auto"/>
          <w:sz w:val="21"/>
          <w:szCs w:val="21"/>
          <w:lang w:val="zh-CN"/>
        </w:rPr>
        <w:t>如有矛盾，应以本表为准。</w:t>
      </w: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14"/>
        <w:gridCol w:w="2127"/>
        <w:gridCol w:w="6130"/>
      </w:tblGrid>
      <w:tr w14:paraId="708B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tblHeader/>
          <w:jc w:val="center"/>
        </w:trPr>
        <w:tc>
          <w:tcPr>
            <w:tcW w:w="814" w:type="dxa"/>
            <w:shd w:val="clear" w:color="auto" w:fill="auto"/>
            <w:vAlign w:val="center"/>
          </w:tcPr>
          <w:p w14:paraId="5E1D0467">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b/>
                <w:color w:val="auto"/>
                <w:sz w:val="21"/>
                <w:szCs w:val="21"/>
              </w:rPr>
            </w:pPr>
            <w:r>
              <w:rPr>
                <w:rFonts w:hint="eastAsia" w:ascii="仿宋" w:hAnsi="仿宋" w:eastAsia="仿宋" w:cs="仿宋"/>
                <w:b/>
                <w:color w:val="auto"/>
                <w:sz w:val="21"/>
                <w:szCs w:val="21"/>
                <w:lang w:val="zh-CN"/>
              </w:rPr>
              <w:t>条款号</w:t>
            </w:r>
          </w:p>
        </w:tc>
        <w:tc>
          <w:tcPr>
            <w:tcW w:w="2127" w:type="dxa"/>
            <w:shd w:val="clear" w:color="auto" w:fill="auto"/>
          </w:tcPr>
          <w:p w14:paraId="2DC28395">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b/>
                <w:color w:val="auto"/>
                <w:sz w:val="21"/>
                <w:szCs w:val="21"/>
                <w:lang w:val="zh-CN"/>
              </w:rPr>
            </w:pPr>
            <w:r>
              <w:rPr>
                <w:rFonts w:hint="eastAsia" w:ascii="仿宋" w:hAnsi="仿宋" w:eastAsia="仿宋" w:cs="仿宋"/>
                <w:b/>
                <w:color w:val="auto"/>
                <w:sz w:val="21"/>
                <w:szCs w:val="21"/>
                <w:lang w:val="zh-CN"/>
              </w:rPr>
              <w:t>条款名称</w:t>
            </w:r>
          </w:p>
        </w:tc>
        <w:tc>
          <w:tcPr>
            <w:tcW w:w="6130" w:type="dxa"/>
            <w:shd w:val="clear" w:color="auto" w:fill="auto"/>
            <w:vAlign w:val="center"/>
          </w:tcPr>
          <w:p w14:paraId="360F13E5">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b/>
                <w:color w:val="auto"/>
                <w:sz w:val="21"/>
                <w:szCs w:val="21"/>
              </w:rPr>
            </w:pPr>
            <w:r>
              <w:rPr>
                <w:rFonts w:hint="eastAsia" w:ascii="仿宋" w:hAnsi="仿宋" w:eastAsia="仿宋" w:cs="仿宋"/>
                <w:b/>
                <w:color w:val="auto"/>
                <w:sz w:val="21"/>
                <w:szCs w:val="21"/>
                <w:lang w:val="zh-CN"/>
              </w:rPr>
              <w:t>编列内容</w:t>
            </w:r>
          </w:p>
        </w:tc>
      </w:tr>
      <w:tr w14:paraId="32F2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11" w:hRule="atLeast"/>
          <w:jc w:val="center"/>
        </w:trPr>
        <w:tc>
          <w:tcPr>
            <w:tcW w:w="814" w:type="dxa"/>
            <w:vAlign w:val="center"/>
          </w:tcPr>
          <w:p w14:paraId="6F9127A8">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2.1</w:t>
            </w:r>
          </w:p>
        </w:tc>
        <w:tc>
          <w:tcPr>
            <w:tcW w:w="2127" w:type="dxa"/>
            <w:vAlign w:val="center"/>
          </w:tcPr>
          <w:p w14:paraId="6480F37A">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采购人</w:t>
            </w:r>
          </w:p>
        </w:tc>
        <w:tc>
          <w:tcPr>
            <w:tcW w:w="6130" w:type="dxa"/>
            <w:vAlign w:val="center"/>
          </w:tcPr>
          <w:p w14:paraId="785BF5B2">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rPr>
              <w:t>湖北省第三人民医院</w:t>
            </w:r>
          </w:p>
        </w:tc>
      </w:tr>
      <w:tr w14:paraId="33E5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14:paraId="26FC8AF2">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2.3</w:t>
            </w:r>
          </w:p>
        </w:tc>
        <w:tc>
          <w:tcPr>
            <w:tcW w:w="2127" w:type="dxa"/>
            <w:vAlign w:val="center"/>
          </w:tcPr>
          <w:p w14:paraId="05BC0032">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采购代理机构</w:t>
            </w:r>
          </w:p>
        </w:tc>
        <w:tc>
          <w:tcPr>
            <w:tcW w:w="6130" w:type="dxa"/>
          </w:tcPr>
          <w:p w14:paraId="5838CD3E">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湖北省成套招标股份有限公司</w:t>
            </w:r>
          </w:p>
        </w:tc>
      </w:tr>
      <w:tr w14:paraId="2BB3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376A72D3">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2.5</w:t>
            </w:r>
          </w:p>
        </w:tc>
        <w:tc>
          <w:tcPr>
            <w:tcW w:w="2127" w:type="dxa"/>
            <w:vAlign w:val="center"/>
          </w:tcPr>
          <w:p w14:paraId="6F190A5C">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磋商供应商</w:t>
            </w:r>
          </w:p>
        </w:tc>
        <w:tc>
          <w:tcPr>
            <w:tcW w:w="6130" w:type="dxa"/>
            <w:vAlign w:val="center"/>
          </w:tcPr>
          <w:p w14:paraId="5BEF6240">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sz w:val="21"/>
                <w:szCs w:val="21"/>
                <w:lang w:val="zh-CN"/>
              </w:rPr>
              <w:t>详见</w:t>
            </w:r>
            <w:r>
              <w:rPr>
                <w:rFonts w:hint="eastAsia" w:ascii="仿宋" w:hAnsi="仿宋" w:eastAsia="仿宋" w:cs="仿宋"/>
                <w:color w:val="auto"/>
                <w:sz w:val="21"/>
                <w:szCs w:val="21"/>
              </w:rPr>
              <w:t>第一章第二款相关要求</w:t>
            </w:r>
          </w:p>
        </w:tc>
      </w:tr>
      <w:tr w14:paraId="6336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14:paraId="57FFE9FF">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4.2</w:t>
            </w:r>
          </w:p>
        </w:tc>
        <w:tc>
          <w:tcPr>
            <w:tcW w:w="2127" w:type="dxa"/>
            <w:vAlign w:val="center"/>
          </w:tcPr>
          <w:p w14:paraId="1BCC6616">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rPr>
              <w:t>成交服务费</w:t>
            </w:r>
          </w:p>
        </w:tc>
        <w:tc>
          <w:tcPr>
            <w:tcW w:w="6130" w:type="dxa"/>
            <w:vAlign w:val="center"/>
          </w:tcPr>
          <w:p w14:paraId="7101CD9C">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firstLine="420" w:firstLineChars="200"/>
              <w:jc w:val="left"/>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根据国家发展</w:t>
            </w:r>
            <w:r>
              <w:rPr>
                <w:rFonts w:hint="eastAsia" w:ascii="仿宋" w:hAnsi="仿宋" w:eastAsia="仿宋" w:cs="仿宋"/>
                <w:color w:val="auto"/>
                <w:sz w:val="21"/>
                <w:szCs w:val="21"/>
                <w:lang w:val="en-US" w:eastAsia="zh-CN"/>
              </w:rPr>
              <w:t>和</w:t>
            </w:r>
            <w:r>
              <w:rPr>
                <w:rFonts w:hint="eastAsia" w:ascii="仿宋" w:hAnsi="仿宋" w:eastAsia="仿宋" w:cs="仿宋"/>
                <w:color w:val="auto"/>
                <w:sz w:val="21"/>
                <w:szCs w:val="21"/>
                <w:lang w:val="zh-CN"/>
              </w:rPr>
              <w:t>改革委员会办公厅发改办价格【2003】857号文的规定，经与采购人协商，由成交供应商以本项目成交金额参照国家发展计划委员会计价格【2002】1980号文规定取费标准的100%向采购代理机构支付服务费。</w:t>
            </w:r>
          </w:p>
          <w:p w14:paraId="005A549D">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firstLine="420" w:firstLineChars="20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递交方式：成交服务费由成交供应商在领取成交通知书的同时向代理机构支付，并同时开具发票，成交供应商在看到网上公布的结果公告时，请携带开票信息到湖北省成套招标股份有限公司</w:t>
            </w:r>
            <w:r>
              <w:rPr>
                <w:rFonts w:hint="eastAsia" w:ascii="仿宋" w:hAnsi="仿宋" w:eastAsia="仿宋" w:cs="仿宋"/>
                <w:color w:val="auto"/>
                <w:sz w:val="21"/>
                <w:szCs w:val="21"/>
                <w:lang w:val="en-US" w:eastAsia="zh-CN"/>
              </w:rPr>
              <w:t>6</w:t>
            </w:r>
            <w:r>
              <w:rPr>
                <w:rFonts w:hint="eastAsia" w:ascii="仿宋" w:hAnsi="仿宋" w:eastAsia="仿宋" w:cs="仿宋"/>
                <w:color w:val="auto"/>
                <w:sz w:val="21"/>
                <w:szCs w:val="21"/>
              </w:rPr>
              <w:t>楼财务窗口缴费开具发票后领取成交通知书。</w:t>
            </w:r>
          </w:p>
          <w:p w14:paraId="7ED187D4">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b/>
                <w:bCs/>
                <w:color w:val="auto"/>
                <w:sz w:val="21"/>
                <w:szCs w:val="21"/>
                <w:lang w:val="zh-CN"/>
              </w:rPr>
            </w:pPr>
            <w:r>
              <w:rPr>
                <w:rFonts w:hint="eastAsia" w:ascii="仿宋" w:hAnsi="仿宋" w:eastAsia="仿宋" w:cs="仿宋"/>
                <w:b/>
                <w:bCs/>
                <w:color w:val="auto"/>
                <w:sz w:val="21"/>
                <w:szCs w:val="21"/>
                <w:lang w:val="zh-CN"/>
              </w:rPr>
              <w:t>中标服务费可使用现金或电汇办理，汇款账户信息如下：</w:t>
            </w:r>
          </w:p>
          <w:p w14:paraId="3C627B32">
            <w:pPr>
              <w:keepNext w:val="0"/>
              <w:keepLines w:val="0"/>
              <w:pageBreakBefore w:val="0"/>
              <w:widowControl w:val="0"/>
              <w:kinsoku/>
              <w:wordWrap/>
              <w:overflowPunct/>
              <w:topLinePunct w:val="0"/>
              <w:bidi w:val="0"/>
              <w:spacing w:line="360" w:lineRule="auto"/>
              <w:ind w:left="0" w:leftChars="0" w:right="0" w:rightChars="0" w:firstLine="420" w:firstLineChars="200"/>
              <w:jc w:val="left"/>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户    名：湖北省成套招标股份有限公司</w:t>
            </w:r>
          </w:p>
          <w:p w14:paraId="13079CB6">
            <w:pPr>
              <w:keepNext w:val="0"/>
              <w:keepLines w:val="0"/>
              <w:pageBreakBefore w:val="0"/>
              <w:widowControl w:val="0"/>
              <w:kinsoku/>
              <w:wordWrap/>
              <w:overflowPunct/>
              <w:topLinePunct w:val="0"/>
              <w:bidi w:val="0"/>
              <w:spacing w:line="360" w:lineRule="auto"/>
              <w:ind w:left="0" w:leftChars="0" w:right="0" w:rightChars="0" w:firstLine="420" w:firstLineChars="200"/>
              <w:jc w:val="left"/>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账    号：572976591978</w:t>
            </w:r>
          </w:p>
          <w:p w14:paraId="014E5F9D">
            <w:pPr>
              <w:keepNext w:val="0"/>
              <w:keepLines w:val="0"/>
              <w:pageBreakBefore w:val="0"/>
              <w:widowControl w:val="0"/>
              <w:kinsoku/>
              <w:wordWrap/>
              <w:overflowPunct/>
              <w:topLinePunct w:val="0"/>
              <w:bidi w:val="0"/>
              <w:spacing w:line="360" w:lineRule="auto"/>
              <w:ind w:left="0" w:leftChars="0" w:right="0" w:rightChars="0" w:firstLine="420" w:firstLineChars="20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zh-CN"/>
              </w:rPr>
              <w:t>开户行：中国银行武汉中南路支行</w:t>
            </w:r>
          </w:p>
        </w:tc>
      </w:tr>
      <w:tr w14:paraId="1EC6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4" w:hRule="atLeast"/>
          <w:jc w:val="center"/>
        </w:trPr>
        <w:tc>
          <w:tcPr>
            <w:tcW w:w="814" w:type="dxa"/>
            <w:vAlign w:val="center"/>
          </w:tcPr>
          <w:p w14:paraId="4DA4A2C4">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6.2</w:t>
            </w:r>
          </w:p>
        </w:tc>
        <w:tc>
          <w:tcPr>
            <w:tcW w:w="2127" w:type="dxa"/>
            <w:vAlign w:val="center"/>
          </w:tcPr>
          <w:p w14:paraId="33928BD6">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提疑截止时间</w:t>
            </w:r>
          </w:p>
        </w:tc>
        <w:tc>
          <w:tcPr>
            <w:tcW w:w="6130" w:type="dxa"/>
            <w:vAlign w:val="center"/>
          </w:tcPr>
          <w:p w14:paraId="432A893A">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rPr>
              <w:t>同采购文件获取截止时间</w:t>
            </w:r>
            <w:r>
              <w:rPr>
                <w:rFonts w:hint="eastAsia" w:ascii="仿宋" w:hAnsi="仿宋" w:eastAsia="仿宋" w:cs="仿宋"/>
                <w:color w:val="auto"/>
                <w:sz w:val="21"/>
                <w:szCs w:val="21"/>
                <w:lang w:val="zh-CN"/>
              </w:rPr>
              <w:t>（如有）</w:t>
            </w:r>
          </w:p>
        </w:tc>
      </w:tr>
      <w:tr w14:paraId="25F0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71B4141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10.4</w:t>
            </w:r>
          </w:p>
        </w:tc>
        <w:tc>
          <w:tcPr>
            <w:tcW w:w="2127" w:type="dxa"/>
            <w:vAlign w:val="center"/>
          </w:tcPr>
          <w:p w14:paraId="4685EA22">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对多包采购的规定</w:t>
            </w:r>
          </w:p>
        </w:tc>
        <w:tc>
          <w:tcPr>
            <w:tcW w:w="6130" w:type="dxa"/>
          </w:tcPr>
          <w:p w14:paraId="04EBBFF7">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color w:val="auto"/>
                <w:sz w:val="21"/>
                <w:szCs w:val="21"/>
                <w:lang w:val="zh-CN" w:eastAsia="zh-CN"/>
              </w:rPr>
            </w:pPr>
            <w:r>
              <w:rPr>
                <w:rFonts w:hint="eastAsia" w:ascii="仿宋" w:hAnsi="仿宋" w:eastAsia="仿宋" w:cs="仿宋"/>
                <w:color w:val="auto"/>
                <w:sz w:val="21"/>
                <w:szCs w:val="21"/>
                <w:lang w:val="en-US" w:eastAsia="zh-CN"/>
              </w:rPr>
              <w:t>/</w:t>
            </w:r>
          </w:p>
        </w:tc>
      </w:tr>
      <w:tr w14:paraId="2DBB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361CAAD2">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12.1</w:t>
            </w:r>
          </w:p>
        </w:tc>
        <w:tc>
          <w:tcPr>
            <w:tcW w:w="2127" w:type="dxa"/>
            <w:vAlign w:val="center"/>
          </w:tcPr>
          <w:p w14:paraId="1A6ABAC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备选方案</w:t>
            </w:r>
          </w:p>
        </w:tc>
        <w:tc>
          <w:tcPr>
            <w:tcW w:w="6130" w:type="dxa"/>
            <w:vAlign w:val="center"/>
          </w:tcPr>
          <w:p w14:paraId="04EDA127">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本次采购  不接受 备选方案。</w:t>
            </w:r>
          </w:p>
        </w:tc>
      </w:tr>
      <w:tr w14:paraId="673E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5B60BD38">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13.1</w:t>
            </w:r>
          </w:p>
        </w:tc>
        <w:tc>
          <w:tcPr>
            <w:tcW w:w="2127" w:type="dxa"/>
            <w:vAlign w:val="center"/>
          </w:tcPr>
          <w:p w14:paraId="62531F44">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联合体磋商</w:t>
            </w:r>
          </w:p>
        </w:tc>
        <w:tc>
          <w:tcPr>
            <w:tcW w:w="6130" w:type="dxa"/>
            <w:vAlign w:val="center"/>
          </w:tcPr>
          <w:p w14:paraId="1FB1E195">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本次采购  不接受 联合体报价。</w:t>
            </w:r>
          </w:p>
        </w:tc>
      </w:tr>
      <w:tr w14:paraId="3DFC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3520368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14.1</w:t>
            </w:r>
          </w:p>
        </w:tc>
        <w:tc>
          <w:tcPr>
            <w:tcW w:w="2127" w:type="dxa"/>
            <w:vAlign w:val="center"/>
          </w:tcPr>
          <w:p w14:paraId="253926BD">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应提交的其它资格证明文件</w:t>
            </w:r>
          </w:p>
        </w:tc>
        <w:tc>
          <w:tcPr>
            <w:tcW w:w="6130" w:type="dxa"/>
            <w:vAlign w:val="center"/>
          </w:tcPr>
          <w:p w14:paraId="068762D9">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资格证明文件（未提供完整视为无效投标）：</w:t>
            </w:r>
          </w:p>
          <w:p w14:paraId="043D21D1">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1.满足《中华人民共和国政府采购法》第二十二条规定。由供应商对以下内容提供书面承诺及声明，或提供相应证明材料</w:t>
            </w:r>
          </w:p>
          <w:p w14:paraId="02A51A30">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（1）具有独立承担民事责任的能力</w:t>
            </w:r>
          </w:p>
          <w:p w14:paraId="649F0738">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1）投标人是企业（包括合伙企业），提供有效的营业执照。</w:t>
            </w:r>
          </w:p>
          <w:p w14:paraId="40D973E8">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2）投标人是事业单位，提供有效的事业单位法人证书。</w:t>
            </w:r>
          </w:p>
          <w:p w14:paraId="493EA865">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3）投标人是非企业专业服务机构的，提供有效的执业许可证等证明文件。</w:t>
            </w:r>
          </w:p>
          <w:p w14:paraId="459BE26A">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4）投标人是个体工商户，提供有效的个体工商户营业执照。</w:t>
            </w:r>
          </w:p>
          <w:p w14:paraId="1D843808">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5）投标人是自然人，提供有效的自然人身份证明。</w:t>
            </w:r>
          </w:p>
          <w:p w14:paraId="06783DE1">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（2）具有良好的商业信誉和健全的财务会计制度。</w:t>
            </w:r>
          </w:p>
          <w:p w14:paraId="760ECFA9">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1）投标人是法人且成立一年或以上的，提供上一年度经审计的财务报告（</w:t>
            </w:r>
            <w:r>
              <w:rPr>
                <w:rFonts w:hint="eastAsia" w:ascii="仿宋" w:hAnsi="仿宋" w:eastAsia="仿宋" w:cs="仿宋"/>
                <w:snapToGrid w:val="0"/>
                <w:color w:val="auto"/>
                <w:sz w:val="21"/>
                <w:szCs w:val="21"/>
                <w:lang w:val="zh-CN"/>
              </w:rPr>
              <w:t>若上一年度还未完成经审计的财务报告，可提供202</w:t>
            </w:r>
            <w:r>
              <w:rPr>
                <w:rFonts w:hint="eastAsia" w:ascii="仿宋" w:hAnsi="仿宋" w:eastAsia="仿宋" w:cs="仿宋"/>
                <w:snapToGrid w:val="0"/>
                <w:color w:val="auto"/>
                <w:sz w:val="21"/>
                <w:szCs w:val="21"/>
                <w:lang w:val="en-US" w:eastAsia="zh-CN"/>
              </w:rPr>
              <w:t>4</w:t>
            </w:r>
            <w:r>
              <w:rPr>
                <w:rFonts w:hint="eastAsia" w:ascii="仿宋" w:hAnsi="仿宋" w:eastAsia="仿宋" w:cs="仿宋"/>
                <w:snapToGrid w:val="0"/>
                <w:color w:val="auto"/>
                <w:sz w:val="21"/>
                <w:szCs w:val="21"/>
                <w:lang w:val="zh-CN"/>
              </w:rPr>
              <w:t>年度经审计的财务报告</w:t>
            </w:r>
            <w:r>
              <w:rPr>
                <w:rFonts w:hint="eastAsia" w:ascii="仿宋" w:hAnsi="仿宋" w:eastAsia="仿宋" w:cs="仿宋"/>
                <w:bCs/>
                <w:snapToGrid w:val="0"/>
                <w:color w:val="auto"/>
                <w:sz w:val="21"/>
                <w:szCs w:val="21"/>
                <w:lang w:val="zh-CN"/>
              </w:rPr>
              <w:t>）；成立未满一年的，提供成立之日后的财务报告。</w:t>
            </w:r>
          </w:p>
          <w:p w14:paraId="337081AF">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2）无法按第1）条提供财务报告的投标人可以提供银行出具的资信证明。</w:t>
            </w:r>
          </w:p>
          <w:p w14:paraId="32E125B1">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3）投标人也可以提供财政部门认可的政府采购专业担保机构出具的投标担保函（原件），代替财务状况报告。</w:t>
            </w:r>
          </w:p>
          <w:p w14:paraId="33E952EB">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（3）具有履行合同所必需的设备和专业技术能力。</w:t>
            </w:r>
          </w:p>
          <w:p w14:paraId="328B385B">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提供具备足够数量的设施设备及技术人员的证明材料或承诺。</w:t>
            </w:r>
          </w:p>
          <w:p w14:paraId="1158BF7F">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（4）有依法缴纳税收和社会保障资金的良好记录。</w:t>
            </w:r>
          </w:p>
          <w:p w14:paraId="3074C117">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有依法缴纳税收和社会保障资金的良好记录，由投标人对以下内容提供相应证明材料。</w:t>
            </w:r>
          </w:p>
          <w:p w14:paraId="328C5661">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1）投标人依法</w:t>
            </w:r>
            <w:r>
              <w:rPr>
                <w:rFonts w:hint="eastAsia" w:ascii="仿宋" w:hAnsi="仿宋" w:eastAsia="仿宋" w:cs="仿宋"/>
                <w:bCs/>
                <w:snapToGrid w:val="0"/>
                <w:color w:val="auto"/>
                <w:sz w:val="21"/>
                <w:szCs w:val="21"/>
                <w:lang w:val="en-US" w:eastAsia="zh-CN"/>
              </w:rPr>
              <w:t>缴纳，下同</w:t>
            </w:r>
            <w:r>
              <w:rPr>
                <w:rFonts w:hint="eastAsia" w:ascii="仿宋" w:hAnsi="仿宋" w:eastAsia="仿宋" w:cs="仿宋"/>
                <w:bCs/>
                <w:snapToGrid w:val="0"/>
                <w:color w:val="auto"/>
                <w:sz w:val="21"/>
                <w:szCs w:val="21"/>
                <w:lang w:val="zh-CN"/>
              </w:rPr>
              <w:t>税收的证明材料：本项目公告发布时间前6个月内（至少提供1个月）增值税、企业所得税的凭据（完税证、缴款书、印花税票、银行代扣（代缴）转账凭证等均可）。</w:t>
            </w:r>
          </w:p>
          <w:p w14:paraId="7484D56F">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2）投标人依法交纳社会保障资金的证明材料：本项目公告发布时间前6个月内（至少提供1个月）交纳社会保险的凭据（专用收据或社会保险交纳清单）。</w:t>
            </w:r>
          </w:p>
          <w:p w14:paraId="53F17663">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3）投标人为其他组织或自然人的，也需要按此项规定提供交纳税收的凭据和交纳社会保险的凭据。</w:t>
            </w:r>
          </w:p>
          <w:p w14:paraId="6563E659">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4）依法免税或不需要交纳社会保障资金的投标人，应提供相应文件证明其依法免税或不需要交纳社会保障资金。</w:t>
            </w:r>
          </w:p>
          <w:p w14:paraId="2F184831">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（5）参加政府采购活动前三年内，在经营活动中没有重大违法记录。</w:t>
            </w:r>
          </w:p>
          <w:p w14:paraId="7DAFF3C9">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按照采购文件要求，根据相关法规规定，提交书面声明。</w:t>
            </w:r>
          </w:p>
          <w:p w14:paraId="0B0C990A">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（6）法律、行政法规规定的其他条件。</w:t>
            </w:r>
          </w:p>
          <w:p w14:paraId="4E8C94E1">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如国家对生产和销售相关产品或提供相关服务有专门法律、行政法规规定的，须提供相关许可的证明材料。</w:t>
            </w:r>
          </w:p>
          <w:p w14:paraId="3AE3ECA7">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2.落实政府采购政策需满足的资格要求。</w:t>
            </w:r>
          </w:p>
          <w:p w14:paraId="068D41CA">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详见采购文件第一章申请人的资格要求中的规定。</w:t>
            </w:r>
          </w:p>
          <w:p w14:paraId="1208F369">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color w:val="auto"/>
                <w:sz w:val="21"/>
                <w:szCs w:val="21"/>
              </w:rPr>
              <w:t>3.本项目的特定资格要求</w:t>
            </w:r>
          </w:p>
          <w:p w14:paraId="54463A2D">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详见采购文件第一章申请人的资格要求中的规定。</w:t>
            </w:r>
          </w:p>
          <w:p w14:paraId="0E45FDC3">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说明：</w:t>
            </w:r>
          </w:p>
          <w:p w14:paraId="1B31F5F9">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1.所有证书、证明文件包括按要求提供的官网截图必须是真实可查证的，须注明资料来源。</w:t>
            </w:r>
          </w:p>
          <w:p w14:paraId="0420FB9E">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snapToGrid w:val="0"/>
                <w:color w:val="auto"/>
                <w:sz w:val="21"/>
                <w:szCs w:val="21"/>
                <w:lang w:val="zh-CN"/>
              </w:rPr>
            </w:pPr>
            <w:r>
              <w:rPr>
                <w:rFonts w:hint="eastAsia" w:ascii="仿宋" w:hAnsi="仿宋" w:eastAsia="仿宋" w:cs="仿宋"/>
                <w:bCs/>
                <w:snapToGrid w:val="0"/>
                <w:color w:val="auto"/>
                <w:sz w:val="21"/>
                <w:szCs w:val="21"/>
                <w:lang w:val="zh-CN"/>
              </w:rPr>
              <w:t>2.资格证明文件应为原件的复印件并加盖公章。所有证明材料须清晰可辨认，如因证明材料模糊无法辨认，缺页、漏页导致无法进行评审认定的责任由供应商自负。如发现弄虚作假将按照有关规定严肃处理。</w:t>
            </w:r>
          </w:p>
          <w:p w14:paraId="5D945C55">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仿宋" w:hAnsi="仿宋" w:eastAsia="仿宋" w:cs="仿宋"/>
                <w:bCs/>
                <w:color w:val="auto"/>
                <w:sz w:val="21"/>
                <w:szCs w:val="21"/>
                <w:lang w:val="zh-CN"/>
              </w:rPr>
            </w:pPr>
            <w:r>
              <w:rPr>
                <w:rFonts w:hint="eastAsia" w:ascii="仿宋" w:hAnsi="仿宋" w:eastAsia="仿宋" w:cs="仿宋"/>
                <w:bCs/>
                <w:snapToGrid w:val="0"/>
                <w:color w:val="auto"/>
                <w:sz w:val="21"/>
                <w:szCs w:val="21"/>
                <w:lang w:val="zh-CN"/>
              </w:rPr>
              <w:t>3.所有证明文件均须在有效期内。</w:t>
            </w:r>
          </w:p>
        </w:tc>
      </w:tr>
      <w:tr w14:paraId="06F6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2FEB5DEF">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15.1</w:t>
            </w:r>
          </w:p>
        </w:tc>
        <w:tc>
          <w:tcPr>
            <w:tcW w:w="2127" w:type="dxa"/>
            <w:vAlign w:val="center"/>
          </w:tcPr>
          <w:p w14:paraId="06E3EDEB">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证明响应内容符合竞争性磋商采购文件要求的文件和竞争性磋商采购文件规定的其他资料</w:t>
            </w:r>
          </w:p>
        </w:tc>
        <w:tc>
          <w:tcPr>
            <w:tcW w:w="6130" w:type="dxa"/>
            <w:vAlign w:val="center"/>
          </w:tcPr>
          <w:p w14:paraId="2DDA419A">
            <w:pPr>
              <w:keepNext w:val="0"/>
              <w:keepLines w:val="0"/>
              <w:pageBreakBefore w:val="0"/>
              <w:widowControl w:val="0"/>
              <w:kinsoku/>
              <w:wordWrap/>
              <w:overflowPunct/>
              <w:topLinePunct w:val="0"/>
              <w:bidi w:val="0"/>
              <w:spacing w:line="360" w:lineRule="auto"/>
              <w:ind w:left="0" w:leftChars="0" w:right="0" w:right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详见第六章中相关内容</w:t>
            </w:r>
          </w:p>
        </w:tc>
      </w:tr>
      <w:tr w14:paraId="0495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88" w:hRule="atLeast"/>
          <w:jc w:val="center"/>
        </w:trPr>
        <w:tc>
          <w:tcPr>
            <w:tcW w:w="814" w:type="dxa"/>
            <w:vMerge w:val="restart"/>
            <w:vAlign w:val="center"/>
          </w:tcPr>
          <w:p w14:paraId="3E331F65">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16.1</w:t>
            </w:r>
          </w:p>
        </w:tc>
        <w:tc>
          <w:tcPr>
            <w:tcW w:w="2127" w:type="dxa"/>
            <w:vMerge w:val="restart"/>
            <w:vAlign w:val="center"/>
          </w:tcPr>
          <w:p w14:paraId="37DA342A">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磋商保证金</w:t>
            </w:r>
          </w:p>
        </w:tc>
        <w:tc>
          <w:tcPr>
            <w:tcW w:w="6130" w:type="dxa"/>
            <w:vAlign w:val="center"/>
          </w:tcPr>
          <w:p w14:paraId="486B9C95">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递交截止时间：同磋商开始时间，以到账为准。</w:t>
            </w:r>
          </w:p>
        </w:tc>
      </w:tr>
      <w:tr w14:paraId="7C4A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87" w:hRule="atLeast"/>
          <w:jc w:val="center"/>
        </w:trPr>
        <w:tc>
          <w:tcPr>
            <w:tcW w:w="814" w:type="dxa"/>
            <w:vMerge w:val="continue"/>
            <w:vAlign w:val="center"/>
          </w:tcPr>
          <w:p w14:paraId="2B183FFB">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p>
        </w:tc>
        <w:tc>
          <w:tcPr>
            <w:tcW w:w="2127" w:type="dxa"/>
            <w:vMerge w:val="continue"/>
            <w:vAlign w:val="center"/>
          </w:tcPr>
          <w:p w14:paraId="116E2953">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p>
        </w:tc>
        <w:tc>
          <w:tcPr>
            <w:tcW w:w="6130" w:type="dxa"/>
            <w:vAlign w:val="center"/>
          </w:tcPr>
          <w:p w14:paraId="4E0D1DF9">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b/>
                <w:color w:val="auto"/>
                <w:sz w:val="21"/>
                <w:szCs w:val="21"/>
              </w:rPr>
              <w:t>本项目不收取磋商保证金。</w:t>
            </w:r>
          </w:p>
          <w:p w14:paraId="49DB7BD6">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保证金递交形式：</w:t>
            </w:r>
          </w:p>
          <w:p w14:paraId="5FC3D371">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1.形式：电汇、银行汇票、支票、银行保函等非现金形式。</w:t>
            </w:r>
          </w:p>
          <w:p w14:paraId="234F30F6">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2.采用电汇（或转账）方式的，应在用途或附言、备注中注明项目编号和“保证金”字样；</w:t>
            </w:r>
          </w:p>
          <w:p w14:paraId="2443DE82">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3.磋商保证金到账时间以我公司指定银行账户到账时间为准，保证金到账截止时间同响应文件递交截止时间；</w:t>
            </w:r>
          </w:p>
          <w:p w14:paraId="5A620AE1">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4.保证金须从供应商单位账户转出。</w:t>
            </w:r>
          </w:p>
          <w:p w14:paraId="432061B5">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p>
          <w:p w14:paraId="0CF67BDD">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开 户 行： 湖北省成套招标股份有限公司 </w:t>
            </w:r>
          </w:p>
          <w:p w14:paraId="752D165A">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行    号： 840085 </w:t>
            </w:r>
          </w:p>
          <w:p w14:paraId="158D4695">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户    名： 中国银行武汉中南路支行  </w:t>
            </w:r>
          </w:p>
          <w:p w14:paraId="43F08D7D">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账    号：572976591978 </w:t>
            </w:r>
          </w:p>
          <w:p w14:paraId="5932F7E5">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p>
          <w:p w14:paraId="78D8D21C">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保证金的确认：</w:t>
            </w:r>
          </w:p>
          <w:p w14:paraId="2DBB68BA">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1.采用电汇（或转账）方式以外的其他形式递交磋商保证金的，由我公司出具收讫凭证。</w:t>
            </w:r>
          </w:p>
          <w:p w14:paraId="74AB7210">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2.公司财务部查询电话027-87311206</w:t>
            </w:r>
          </w:p>
          <w:p w14:paraId="6DF44F35">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p>
          <w:p w14:paraId="1B4B48E3">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保证金的退还：</w:t>
            </w:r>
          </w:p>
          <w:p w14:paraId="416084A5">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1.供应商在提交响应文件时，应同时向本公司提交保证金退还时的银行信息（收款人、账号、行号、开户银行）；</w:t>
            </w:r>
          </w:p>
          <w:p w14:paraId="50112663">
            <w:pPr>
              <w:keepNext w:val="0"/>
              <w:keepLines w:val="0"/>
              <w:pageBreakBefore w:val="0"/>
              <w:widowControl w:val="0"/>
              <w:kinsoku/>
              <w:wordWrap/>
              <w:overflowPunct/>
              <w:topLinePunct w:val="0"/>
              <w:bidi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2.因供应商自身原因导致保证金无法及时退还的，本公司不承担退款延期所产生的超期资金占用费。</w:t>
            </w:r>
          </w:p>
        </w:tc>
      </w:tr>
      <w:tr w14:paraId="5120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34716405">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17.1</w:t>
            </w:r>
          </w:p>
        </w:tc>
        <w:tc>
          <w:tcPr>
            <w:tcW w:w="2127" w:type="dxa"/>
            <w:vAlign w:val="center"/>
          </w:tcPr>
          <w:p w14:paraId="298B39DF">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磋商结果有效期</w:t>
            </w:r>
          </w:p>
        </w:tc>
        <w:tc>
          <w:tcPr>
            <w:tcW w:w="6130" w:type="dxa"/>
            <w:vAlign w:val="center"/>
          </w:tcPr>
          <w:p w14:paraId="0DD2F06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color w:val="auto"/>
                <w:sz w:val="21"/>
                <w:szCs w:val="21"/>
                <w:lang w:val="zh-CN"/>
              </w:rPr>
            </w:pPr>
            <w:r>
              <w:rPr>
                <w:rFonts w:hint="eastAsia" w:ascii="仿宋" w:hAnsi="仿宋" w:eastAsia="仿宋" w:cs="仿宋"/>
                <w:snapToGrid w:val="0"/>
                <w:color w:val="auto"/>
                <w:kern w:val="0"/>
                <w:sz w:val="21"/>
                <w:szCs w:val="21"/>
                <w:u w:val="single"/>
              </w:rPr>
              <w:t>90</w:t>
            </w:r>
            <w:r>
              <w:rPr>
                <w:rFonts w:hint="eastAsia" w:ascii="仿宋" w:hAnsi="仿宋" w:eastAsia="仿宋" w:cs="仿宋"/>
                <w:snapToGrid w:val="0"/>
                <w:color w:val="auto"/>
                <w:kern w:val="0"/>
                <w:sz w:val="21"/>
                <w:szCs w:val="21"/>
                <w:lang w:val="zh-CN"/>
              </w:rPr>
              <w:t>日历天</w:t>
            </w:r>
          </w:p>
        </w:tc>
      </w:tr>
      <w:tr w14:paraId="7B35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14:paraId="1A2DBC54">
            <w:pPr>
              <w:pStyle w:val="17"/>
              <w:keepNext w:val="0"/>
              <w:keepLines w:val="0"/>
              <w:pageBreakBefore w:val="0"/>
              <w:widowControl w:val="0"/>
              <w:kinsoku/>
              <w:wordWrap/>
              <w:overflowPunct/>
              <w:topLinePunct w:val="0"/>
              <w:autoSpaceDE w:val="0"/>
              <w:autoSpaceDN w:val="0"/>
              <w:bidi w:val="0"/>
              <w:adjustRightInd w:val="0"/>
              <w:spacing w:before="0" w:beforeAutospacing="0" w:after="0" w:afterAutospacing="0" w:line="360" w:lineRule="auto"/>
              <w:ind w:left="0" w:leftChars="0" w:right="0" w:rightChars="0"/>
              <w:jc w:val="center"/>
              <w:textAlignment w:val="auto"/>
              <w:rPr>
                <w:rFonts w:hint="eastAsia" w:ascii="仿宋" w:hAnsi="仿宋" w:eastAsia="仿宋" w:cs="仿宋"/>
                <w:color w:val="auto"/>
                <w:kern w:val="2"/>
                <w:sz w:val="21"/>
                <w:szCs w:val="21"/>
                <w:lang w:val="zh-CN"/>
              </w:rPr>
            </w:pPr>
            <w:r>
              <w:rPr>
                <w:rFonts w:hint="eastAsia" w:ascii="仿宋" w:hAnsi="仿宋" w:eastAsia="仿宋" w:cs="仿宋"/>
                <w:color w:val="auto"/>
                <w:kern w:val="2"/>
                <w:sz w:val="21"/>
                <w:szCs w:val="21"/>
                <w:lang w:val="zh-CN"/>
              </w:rPr>
              <w:t>18.1</w:t>
            </w:r>
          </w:p>
        </w:tc>
        <w:tc>
          <w:tcPr>
            <w:tcW w:w="2127" w:type="dxa"/>
            <w:vAlign w:val="center"/>
          </w:tcPr>
          <w:p w14:paraId="28E053B6">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竞争性磋商响应文件正、副本数量</w:t>
            </w:r>
          </w:p>
        </w:tc>
        <w:tc>
          <w:tcPr>
            <w:tcW w:w="6130" w:type="dxa"/>
            <w:vAlign w:val="center"/>
          </w:tcPr>
          <w:p w14:paraId="17379287">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rPr>
              <w:t>本次采购项目</w:t>
            </w:r>
            <w:r>
              <w:rPr>
                <w:rFonts w:hint="eastAsia" w:ascii="仿宋" w:hAnsi="仿宋" w:eastAsia="仿宋" w:cs="仿宋"/>
                <w:snapToGrid w:val="0"/>
                <w:color w:val="auto"/>
                <w:kern w:val="0"/>
                <w:sz w:val="21"/>
                <w:szCs w:val="21"/>
                <w:lang w:val="zh-CN"/>
              </w:rPr>
              <w:t>响应文件正本一份，副本二份，电子文档一份（以U盘形式提供），所有响应文件概不退还。</w:t>
            </w:r>
          </w:p>
        </w:tc>
      </w:tr>
      <w:tr w14:paraId="5244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14:paraId="44051867">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19.4</w:t>
            </w:r>
          </w:p>
        </w:tc>
        <w:tc>
          <w:tcPr>
            <w:tcW w:w="2127" w:type="dxa"/>
            <w:vAlign w:val="center"/>
          </w:tcPr>
          <w:p w14:paraId="0F8ABD5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样品</w:t>
            </w:r>
          </w:p>
        </w:tc>
        <w:tc>
          <w:tcPr>
            <w:tcW w:w="6130" w:type="dxa"/>
            <w:vAlign w:val="center"/>
          </w:tcPr>
          <w:p w14:paraId="3924716A">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snapToGrid w:val="0"/>
                <w:color w:val="auto"/>
                <w:kern w:val="0"/>
                <w:sz w:val="21"/>
                <w:szCs w:val="21"/>
              </w:rPr>
            </w:pPr>
            <w:r>
              <w:rPr>
                <w:rFonts w:hint="eastAsia" w:ascii="仿宋" w:hAnsi="仿宋" w:eastAsia="仿宋" w:cs="仿宋"/>
                <w:snapToGrid w:val="0"/>
                <w:color w:val="auto"/>
                <w:kern w:val="0"/>
                <w:sz w:val="21"/>
                <w:szCs w:val="21"/>
              </w:rPr>
              <w:t>不提供</w:t>
            </w:r>
          </w:p>
        </w:tc>
      </w:tr>
      <w:tr w14:paraId="5921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832" w:hRule="atLeast"/>
          <w:jc w:val="center"/>
        </w:trPr>
        <w:tc>
          <w:tcPr>
            <w:tcW w:w="814" w:type="dxa"/>
            <w:vAlign w:val="center"/>
          </w:tcPr>
          <w:p w14:paraId="10C07BC5">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20.1</w:t>
            </w:r>
          </w:p>
        </w:tc>
        <w:tc>
          <w:tcPr>
            <w:tcW w:w="2127" w:type="dxa"/>
            <w:vAlign w:val="center"/>
          </w:tcPr>
          <w:p w14:paraId="2071880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竞争性磋商响应文件送达地点及递交截止时间</w:t>
            </w:r>
          </w:p>
        </w:tc>
        <w:tc>
          <w:tcPr>
            <w:tcW w:w="6130" w:type="dxa"/>
            <w:vAlign w:val="center"/>
          </w:tcPr>
          <w:p w14:paraId="5E292B0D">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zh-CN"/>
              </w:rPr>
              <w:t>详见</w:t>
            </w:r>
            <w:r>
              <w:rPr>
                <w:rFonts w:hint="eastAsia" w:ascii="仿宋" w:hAnsi="仿宋" w:eastAsia="仿宋" w:cs="仿宋"/>
                <w:color w:val="auto"/>
                <w:sz w:val="21"/>
                <w:szCs w:val="21"/>
              </w:rPr>
              <w:t>第一章第四款及第五款相关要求</w:t>
            </w:r>
          </w:p>
        </w:tc>
      </w:tr>
      <w:tr w14:paraId="4507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14:paraId="151D18B2">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23.1</w:t>
            </w:r>
          </w:p>
        </w:tc>
        <w:tc>
          <w:tcPr>
            <w:tcW w:w="2127" w:type="dxa"/>
            <w:vAlign w:val="center"/>
          </w:tcPr>
          <w:p w14:paraId="3F218F0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磋商小组人数</w:t>
            </w:r>
          </w:p>
        </w:tc>
        <w:tc>
          <w:tcPr>
            <w:tcW w:w="6130" w:type="dxa"/>
            <w:vAlign w:val="center"/>
          </w:tcPr>
          <w:p w14:paraId="5F2C15EB">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left"/>
              <w:textAlignment w:val="auto"/>
              <w:rPr>
                <w:rFonts w:hint="eastAsia" w:ascii="仿宋" w:hAnsi="仿宋" w:eastAsia="仿宋" w:cs="仿宋"/>
                <w:snapToGrid w:val="0"/>
                <w:color w:val="auto"/>
                <w:kern w:val="0"/>
                <w:sz w:val="21"/>
                <w:szCs w:val="21"/>
              </w:rPr>
            </w:pPr>
            <w:r>
              <w:rPr>
                <w:rFonts w:hint="eastAsia" w:ascii="仿宋" w:hAnsi="仿宋" w:eastAsia="仿宋" w:cs="仿宋"/>
                <w:snapToGrid w:val="0"/>
                <w:color w:val="auto"/>
                <w:kern w:val="0"/>
                <w:sz w:val="21"/>
                <w:szCs w:val="21"/>
              </w:rPr>
              <w:t>3人</w:t>
            </w:r>
            <w:r>
              <w:rPr>
                <w:rFonts w:hint="eastAsia" w:ascii="仿宋" w:hAnsi="仿宋" w:eastAsia="仿宋" w:cs="仿宋"/>
                <w:snapToGrid w:val="0"/>
                <w:color w:val="auto"/>
                <w:kern w:val="0"/>
                <w:sz w:val="21"/>
                <w:szCs w:val="21"/>
                <w:lang w:val="zh-CN"/>
              </w:rPr>
              <w:t>或3人以上单数组成，</w:t>
            </w:r>
            <w:r>
              <w:rPr>
                <w:rFonts w:hint="eastAsia" w:ascii="仿宋" w:hAnsi="仿宋" w:eastAsia="仿宋" w:cs="仿宋"/>
                <w:snapToGrid w:val="0"/>
                <w:color w:val="auto"/>
                <w:kern w:val="0"/>
                <w:sz w:val="21"/>
                <w:szCs w:val="21"/>
              </w:rPr>
              <w:t>其中采购人评委不超过评审委员会小组成员总数的三分之一</w:t>
            </w:r>
            <w:r>
              <w:rPr>
                <w:rFonts w:hint="eastAsia" w:ascii="仿宋" w:hAnsi="仿宋" w:eastAsia="仿宋" w:cs="仿宋"/>
                <w:snapToGrid w:val="0"/>
                <w:color w:val="auto"/>
                <w:kern w:val="0"/>
                <w:sz w:val="21"/>
                <w:szCs w:val="21"/>
                <w:lang w:val="zh-CN"/>
              </w:rPr>
              <w:t>。</w:t>
            </w:r>
          </w:p>
        </w:tc>
      </w:tr>
      <w:tr w14:paraId="7BBB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14:paraId="701FA8CA">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26.4</w:t>
            </w:r>
          </w:p>
        </w:tc>
        <w:tc>
          <w:tcPr>
            <w:tcW w:w="2127" w:type="dxa"/>
            <w:vAlign w:val="center"/>
          </w:tcPr>
          <w:p w14:paraId="68BB3A74">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提交最后报价供应商的确定方式</w:t>
            </w:r>
          </w:p>
        </w:tc>
        <w:tc>
          <w:tcPr>
            <w:tcW w:w="6130" w:type="dxa"/>
            <w:vAlign w:val="center"/>
          </w:tcPr>
          <w:p w14:paraId="7C05AD84">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left"/>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bCs/>
                <w:color w:val="auto"/>
                <w:kern w:val="44"/>
                <w:sz w:val="21"/>
                <w:szCs w:val="21"/>
              </w:rPr>
              <w:t>采购代理机构将已确定条件的最后报价书发放至所有通过了资格审查及符合性审查的磋商供应商，磋商供应商应在指定的时间内提交满足要求的最后报价，密封递交磋商小组。</w:t>
            </w:r>
          </w:p>
        </w:tc>
      </w:tr>
      <w:tr w14:paraId="040D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14:paraId="36DACDB8">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27.1</w:t>
            </w:r>
          </w:p>
        </w:tc>
        <w:tc>
          <w:tcPr>
            <w:tcW w:w="2127" w:type="dxa"/>
            <w:vAlign w:val="center"/>
          </w:tcPr>
          <w:p w14:paraId="0AB9163A">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snapToGrid w:val="0"/>
                <w:color w:val="auto"/>
                <w:kern w:val="0"/>
                <w:sz w:val="21"/>
                <w:szCs w:val="21"/>
                <w:lang w:val="zh-CN"/>
              </w:rPr>
              <w:t>履约保证金</w:t>
            </w:r>
          </w:p>
        </w:tc>
        <w:tc>
          <w:tcPr>
            <w:tcW w:w="6130" w:type="dxa"/>
            <w:vAlign w:val="center"/>
          </w:tcPr>
          <w:p w14:paraId="70093BF2">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无</w:t>
            </w:r>
          </w:p>
        </w:tc>
      </w:tr>
      <w:tr w14:paraId="5BCA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14:paraId="7E6A92D0">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七</w:t>
            </w:r>
          </w:p>
        </w:tc>
        <w:tc>
          <w:tcPr>
            <w:tcW w:w="2127" w:type="dxa"/>
            <w:vAlign w:val="center"/>
          </w:tcPr>
          <w:p w14:paraId="52E8FE1E">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snapToGrid w:val="0"/>
                <w:color w:val="auto"/>
                <w:kern w:val="0"/>
                <w:sz w:val="21"/>
                <w:szCs w:val="21"/>
                <w:lang w:val="zh-CN"/>
              </w:rPr>
              <w:t>接收质疑函的方式、联系部门、联系电话和通讯地址</w:t>
            </w:r>
          </w:p>
        </w:tc>
        <w:tc>
          <w:tcPr>
            <w:tcW w:w="6130" w:type="dxa"/>
            <w:vAlign w:val="center"/>
          </w:tcPr>
          <w:p w14:paraId="010842F3">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bCs/>
                <w:color w:val="auto"/>
                <w:kern w:val="44"/>
                <w:sz w:val="21"/>
                <w:szCs w:val="21"/>
              </w:rPr>
            </w:pPr>
            <w:r>
              <w:rPr>
                <w:rFonts w:hint="eastAsia" w:ascii="仿宋" w:hAnsi="仿宋" w:eastAsia="仿宋" w:cs="仿宋"/>
                <w:bCs/>
                <w:color w:val="auto"/>
                <w:kern w:val="44"/>
                <w:sz w:val="21"/>
                <w:szCs w:val="21"/>
              </w:rPr>
              <w:t>接收质疑函的方式:加盖公章的纸质文件（如时间较紧张，可以先将其PDF版文件发至本文件第一章中代理机构联系人邮箱并将其纸质文件随后送达，代理机构接收质疑文件时间以纸质文件或PDF版文件先送达时间为准），请将其word版文件发至本文件第一章中代理机构联系人邮箱以便于回复。</w:t>
            </w:r>
          </w:p>
          <w:p w14:paraId="4B57A585">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bCs/>
                <w:color w:val="auto"/>
                <w:kern w:val="44"/>
                <w:sz w:val="21"/>
                <w:szCs w:val="21"/>
              </w:rPr>
            </w:pPr>
            <w:r>
              <w:rPr>
                <w:rFonts w:hint="eastAsia" w:ascii="仿宋" w:hAnsi="仿宋" w:eastAsia="仿宋" w:cs="仿宋"/>
                <w:bCs/>
                <w:color w:val="auto"/>
                <w:kern w:val="44"/>
                <w:sz w:val="21"/>
                <w:szCs w:val="21"/>
              </w:rPr>
              <w:t>联系部门及联系人：湖北省成套招标股份有限公司总工办</w:t>
            </w:r>
          </w:p>
          <w:p w14:paraId="5F0139E3">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bCs/>
                <w:color w:val="auto"/>
                <w:kern w:val="44"/>
                <w:sz w:val="21"/>
                <w:szCs w:val="21"/>
              </w:rPr>
            </w:pPr>
            <w:r>
              <w:rPr>
                <w:rFonts w:hint="eastAsia" w:ascii="仿宋" w:hAnsi="仿宋" w:eastAsia="仿宋" w:cs="仿宋"/>
                <w:bCs/>
                <w:color w:val="auto"/>
                <w:kern w:val="44"/>
                <w:sz w:val="21"/>
                <w:szCs w:val="21"/>
              </w:rPr>
              <w:t>联系电话：027-87316021。</w:t>
            </w:r>
          </w:p>
          <w:p w14:paraId="79E7D37D">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bCs/>
                <w:color w:val="auto"/>
                <w:kern w:val="44"/>
                <w:sz w:val="21"/>
                <w:szCs w:val="21"/>
              </w:rPr>
            </w:pPr>
            <w:r>
              <w:rPr>
                <w:rFonts w:hint="eastAsia" w:ascii="仿宋" w:hAnsi="仿宋" w:eastAsia="仿宋" w:cs="仿宋"/>
                <w:bCs/>
                <w:color w:val="auto"/>
                <w:kern w:val="44"/>
                <w:sz w:val="21"/>
                <w:szCs w:val="21"/>
              </w:rPr>
              <w:t>通讯地址：湖北省武汉市武昌区东湖西路特2号平安财富中心B座</w:t>
            </w:r>
            <w:r>
              <w:rPr>
                <w:rFonts w:hint="eastAsia" w:ascii="仿宋" w:hAnsi="仿宋" w:eastAsia="仿宋" w:cs="仿宋"/>
                <w:bCs/>
                <w:color w:val="auto"/>
                <w:kern w:val="44"/>
                <w:sz w:val="21"/>
                <w:szCs w:val="21"/>
                <w:lang w:val="en-US" w:eastAsia="zh-CN"/>
              </w:rPr>
              <w:t>10</w:t>
            </w:r>
            <w:r>
              <w:rPr>
                <w:rFonts w:hint="eastAsia" w:ascii="仿宋" w:hAnsi="仿宋" w:eastAsia="仿宋" w:cs="仿宋"/>
                <w:bCs/>
                <w:color w:val="auto"/>
                <w:kern w:val="44"/>
                <w:sz w:val="21"/>
                <w:szCs w:val="21"/>
              </w:rPr>
              <w:t>楼。</w:t>
            </w:r>
          </w:p>
          <w:p w14:paraId="42CEB0F4">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textAlignment w:val="auto"/>
              <w:rPr>
                <w:rFonts w:hint="eastAsia" w:ascii="仿宋" w:hAnsi="仿宋" w:eastAsia="仿宋" w:cs="仿宋"/>
                <w:bCs/>
                <w:color w:val="auto"/>
                <w:kern w:val="44"/>
                <w:sz w:val="21"/>
                <w:szCs w:val="21"/>
              </w:rPr>
            </w:pPr>
            <w:r>
              <w:rPr>
                <w:rFonts w:hint="eastAsia" w:ascii="仿宋" w:hAnsi="仿宋" w:eastAsia="仿宋" w:cs="仿宋"/>
                <w:bCs/>
                <w:color w:val="auto"/>
                <w:kern w:val="44"/>
                <w:sz w:val="21"/>
                <w:szCs w:val="21"/>
              </w:rPr>
              <w:t>供应商在法定质疑期内应一次性提出针对同一采购程序环节的质疑。</w:t>
            </w:r>
          </w:p>
        </w:tc>
      </w:tr>
      <w:tr w14:paraId="3A6A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14:paraId="0286A6B0">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八</w:t>
            </w:r>
          </w:p>
        </w:tc>
        <w:tc>
          <w:tcPr>
            <w:tcW w:w="2127" w:type="dxa"/>
            <w:vAlign w:val="center"/>
          </w:tcPr>
          <w:p w14:paraId="4EBDA3AB">
            <w:pPr>
              <w:keepNext w:val="0"/>
              <w:keepLines w:val="0"/>
              <w:pageBreakBefore w:val="0"/>
              <w:widowControl w:val="0"/>
              <w:kinsoku/>
              <w:wordWrap/>
              <w:overflowPunct/>
              <w:topLinePunct w:val="0"/>
              <w:autoSpaceDE w:val="0"/>
              <w:autoSpaceDN w:val="0"/>
              <w:bidi w:val="0"/>
              <w:adjustRightInd w:val="0"/>
              <w:spacing w:line="360" w:lineRule="auto"/>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其他要求</w:t>
            </w:r>
          </w:p>
        </w:tc>
        <w:tc>
          <w:tcPr>
            <w:tcW w:w="6130" w:type="dxa"/>
            <w:vAlign w:val="center"/>
          </w:tcPr>
          <w:p w14:paraId="175E23D1">
            <w:pPr>
              <w:pStyle w:val="7"/>
              <w:keepNext w:val="0"/>
              <w:keepLines w:val="0"/>
              <w:pageBreakBefore w:val="0"/>
              <w:widowControl w:val="0"/>
              <w:kinsoku/>
              <w:wordWrap/>
              <w:overflowPunct/>
              <w:topLinePunct w:val="0"/>
              <w:bidi w:val="0"/>
              <w:spacing w:after="0" w:line="360" w:lineRule="auto"/>
              <w:ind w:left="0" w:leftChars="0" w:right="0" w:right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供应商应密切关注本项目在对应网站平台上发布的相关公告。</w:t>
            </w:r>
          </w:p>
        </w:tc>
      </w:tr>
    </w:tbl>
    <w:p w14:paraId="764536C4">
      <w:pPr>
        <w:widowControl/>
        <w:jc w:val="left"/>
        <w:rPr>
          <w:rFonts w:ascii="仿宋" w:hAnsi="仿宋" w:eastAsia="仿宋" w:cs="宋体"/>
          <w:color w:val="auto"/>
        </w:rPr>
      </w:pPr>
    </w:p>
    <w:p w14:paraId="77031A55">
      <w:pPr>
        <w:spacing w:line="360" w:lineRule="auto"/>
        <w:jc w:val="center"/>
        <w:outlineLvl w:val="1"/>
        <w:rPr>
          <w:rFonts w:ascii="仿宋" w:hAnsi="仿宋" w:eastAsia="仿宋" w:cs="宋体"/>
          <w:b/>
          <w:color w:val="auto"/>
          <w:szCs w:val="21"/>
        </w:rPr>
      </w:pPr>
      <w:r>
        <w:rPr>
          <w:rFonts w:hint="eastAsia" w:ascii="仿宋" w:hAnsi="仿宋" w:eastAsia="仿宋" w:cs="宋体"/>
          <w:b/>
          <w:color w:val="auto"/>
          <w:szCs w:val="21"/>
        </w:rPr>
        <w:br w:type="page"/>
      </w:r>
      <w:bookmarkStart w:id="49" w:name="_Toc478050522"/>
      <w:bookmarkStart w:id="50" w:name="_Toc149035912"/>
      <w:bookmarkStart w:id="51" w:name="_Toc21615"/>
      <w:r>
        <w:rPr>
          <w:rFonts w:hint="eastAsia" w:ascii="仿宋" w:hAnsi="仿宋" w:eastAsia="仿宋" w:cs="宋体"/>
          <w:b/>
          <w:color w:val="auto"/>
          <w:szCs w:val="21"/>
        </w:rPr>
        <w:t>供应商须知</w:t>
      </w:r>
      <w:bookmarkEnd w:id="49"/>
      <w:bookmarkEnd w:id="50"/>
      <w:bookmarkEnd w:id="51"/>
    </w:p>
    <w:p w14:paraId="3467A758">
      <w:pPr>
        <w:numPr>
          <w:ilvl w:val="1"/>
          <w:numId w:val="2"/>
        </w:numPr>
        <w:tabs>
          <w:tab w:val="clear" w:pos="840"/>
        </w:tabs>
        <w:spacing w:line="360" w:lineRule="auto"/>
        <w:ind w:left="540" w:hanging="540"/>
        <w:outlineLvl w:val="1"/>
        <w:rPr>
          <w:rFonts w:ascii="仿宋" w:hAnsi="仿宋" w:eastAsia="仿宋" w:cs="宋体"/>
          <w:b/>
          <w:color w:val="auto"/>
          <w:szCs w:val="21"/>
        </w:rPr>
      </w:pPr>
      <w:bookmarkStart w:id="52" w:name="_Toc149035913"/>
      <w:bookmarkStart w:id="53" w:name="_Toc4326"/>
      <w:bookmarkStart w:id="54" w:name="_Toc3703"/>
      <w:bookmarkStart w:id="55" w:name="_Toc478050523"/>
      <w:r>
        <w:rPr>
          <w:rFonts w:hint="eastAsia" w:ascii="仿宋" w:hAnsi="仿宋" w:eastAsia="仿宋" w:cs="宋体"/>
          <w:b/>
          <w:color w:val="auto"/>
          <w:szCs w:val="21"/>
        </w:rPr>
        <w:t>总则</w:t>
      </w:r>
      <w:bookmarkEnd w:id="52"/>
      <w:bookmarkEnd w:id="53"/>
      <w:bookmarkEnd w:id="54"/>
      <w:bookmarkEnd w:id="55"/>
    </w:p>
    <w:p w14:paraId="2C491A49">
      <w:pPr>
        <w:numPr>
          <w:ilvl w:val="0"/>
          <w:numId w:val="3"/>
        </w:numPr>
        <w:spacing w:line="360" w:lineRule="auto"/>
        <w:ind w:hanging="540"/>
        <w:outlineLvl w:val="1"/>
        <w:rPr>
          <w:rFonts w:ascii="仿宋" w:hAnsi="仿宋" w:eastAsia="仿宋" w:cs="宋体"/>
          <w:b/>
          <w:color w:val="auto"/>
          <w:szCs w:val="21"/>
        </w:rPr>
      </w:pPr>
      <w:bookmarkStart w:id="56" w:name="_Toc27243"/>
      <w:bookmarkStart w:id="57" w:name="_Toc24479"/>
      <w:bookmarkStart w:id="58" w:name="_Toc478050524"/>
      <w:bookmarkStart w:id="59" w:name="_Toc149035914"/>
      <w:bookmarkStart w:id="60" w:name="_Toc16205"/>
      <w:r>
        <w:rPr>
          <w:rFonts w:hint="eastAsia" w:ascii="仿宋" w:hAnsi="仿宋" w:eastAsia="仿宋" w:cs="宋体"/>
          <w:b/>
          <w:color w:val="auto"/>
          <w:szCs w:val="21"/>
        </w:rPr>
        <w:t>适用法律及范围</w:t>
      </w:r>
      <w:bookmarkEnd w:id="56"/>
      <w:bookmarkEnd w:id="57"/>
      <w:bookmarkEnd w:id="58"/>
      <w:bookmarkEnd w:id="59"/>
      <w:bookmarkEnd w:id="60"/>
    </w:p>
    <w:p w14:paraId="739F3886">
      <w:pPr>
        <w:numPr>
          <w:ilvl w:val="1"/>
          <w:numId w:val="4"/>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本竞争性磋商采购文件仅适用于本次竞争性磋商中所述的项目的采购。</w:t>
      </w:r>
    </w:p>
    <w:p w14:paraId="2E0A0B61">
      <w:pPr>
        <w:numPr>
          <w:ilvl w:val="0"/>
          <w:numId w:val="3"/>
        </w:numPr>
        <w:spacing w:line="360" w:lineRule="auto"/>
        <w:ind w:hanging="540"/>
        <w:outlineLvl w:val="1"/>
        <w:rPr>
          <w:rFonts w:ascii="仿宋" w:hAnsi="仿宋" w:eastAsia="仿宋" w:cs="宋体"/>
          <w:b/>
          <w:color w:val="auto"/>
          <w:szCs w:val="21"/>
        </w:rPr>
      </w:pPr>
      <w:bookmarkStart w:id="61" w:name="_Toc22989"/>
      <w:bookmarkStart w:id="62" w:name="_Toc478050525"/>
      <w:bookmarkStart w:id="63" w:name="_Toc30547"/>
      <w:bookmarkStart w:id="64" w:name="_Toc5386"/>
      <w:bookmarkStart w:id="65" w:name="_Toc149035915"/>
      <w:r>
        <w:rPr>
          <w:rFonts w:hint="eastAsia" w:ascii="仿宋" w:hAnsi="仿宋" w:eastAsia="仿宋" w:cs="宋体"/>
          <w:b/>
          <w:color w:val="auto"/>
          <w:szCs w:val="21"/>
        </w:rPr>
        <w:t>定义</w:t>
      </w:r>
      <w:bookmarkEnd w:id="61"/>
      <w:bookmarkEnd w:id="62"/>
      <w:bookmarkEnd w:id="63"/>
      <w:bookmarkEnd w:id="64"/>
      <w:bookmarkEnd w:id="65"/>
    </w:p>
    <w:p w14:paraId="07D00CC3">
      <w:pPr>
        <w:numPr>
          <w:ilvl w:val="1"/>
          <w:numId w:val="5"/>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“采购人”：本次磋商的采购人见《供应商须知前附表》。</w:t>
      </w:r>
    </w:p>
    <w:p w14:paraId="26CCD688">
      <w:pPr>
        <w:numPr>
          <w:ilvl w:val="1"/>
          <w:numId w:val="5"/>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“监管部门”：本次磋商的监管部门见《供应商须知前附表》。</w:t>
      </w:r>
    </w:p>
    <w:p w14:paraId="0A37E13F">
      <w:pPr>
        <w:numPr>
          <w:ilvl w:val="1"/>
          <w:numId w:val="5"/>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“采购代理机构”：本次磋商的采购代理机构见《供应商须知前附表》。</w:t>
      </w:r>
    </w:p>
    <w:p w14:paraId="4D0F229A">
      <w:pPr>
        <w:numPr>
          <w:ilvl w:val="1"/>
          <w:numId w:val="5"/>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“供应商”是指获取本竞争性磋商采购文件的法人、其他组织或者自然人。</w:t>
      </w:r>
    </w:p>
    <w:p w14:paraId="5D3B661D">
      <w:pPr>
        <w:numPr>
          <w:ilvl w:val="1"/>
          <w:numId w:val="5"/>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“磋商供应商”是指</w:t>
      </w:r>
    </w:p>
    <w:p w14:paraId="7E699808">
      <w:pPr>
        <w:numPr>
          <w:ilvl w:val="3"/>
          <w:numId w:val="3"/>
        </w:numPr>
        <w:tabs>
          <w:tab w:val="clear" w:pos="2040"/>
        </w:tabs>
        <w:spacing w:line="360" w:lineRule="auto"/>
        <w:ind w:left="0" w:firstLine="0"/>
        <w:rPr>
          <w:rFonts w:ascii="仿宋" w:hAnsi="仿宋" w:eastAsia="仿宋" w:cs="宋体"/>
          <w:color w:val="auto"/>
          <w:szCs w:val="21"/>
        </w:rPr>
      </w:pPr>
      <w:r>
        <w:rPr>
          <w:rFonts w:hint="eastAsia" w:ascii="仿宋" w:hAnsi="仿宋" w:eastAsia="仿宋" w:cs="宋体"/>
          <w:snapToGrid w:val="0"/>
          <w:color w:val="auto"/>
          <w:kern w:val="0"/>
          <w:szCs w:val="21"/>
          <w:lang w:val="zh-CN"/>
        </w:rPr>
        <w:t>符合</w:t>
      </w:r>
      <w:r>
        <w:rPr>
          <w:rFonts w:hint="eastAsia" w:ascii="仿宋" w:hAnsi="仿宋" w:eastAsia="仿宋" w:cs="宋体"/>
          <w:color w:val="auto"/>
          <w:szCs w:val="21"/>
        </w:rPr>
        <w:t>具备《中华人民共和国政府采购法》第二十二条规定的条件；</w:t>
      </w:r>
    </w:p>
    <w:p w14:paraId="245B80FB">
      <w:pPr>
        <w:numPr>
          <w:ilvl w:val="3"/>
          <w:numId w:val="3"/>
        </w:numPr>
        <w:tabs>
          <w:tab w:val="clear" w:pos="2040"/>
        </w:tabs>
        <w:spacing w:line="360" w:lineRule="auto"/>
        <w:ind w:left="0" w:firstLine="0"/>
        <w:rPr>
          <w:rFonts w:ascii="仿宋" w:hAnsi="仿宋" w:eastAsia="仿宋" w:cs="宋体"/>
          <w:color w:val="auto"/>
          <w:szCs w:val="21"/>
        </w:rPr>
      </w:pPr>
      <w:r>
        <w:rPr>
          <w:rFonts w:hint="eastAsia" w:ascii="仿宋" w:hAnsi="仿宋" w:eastAsia="仿宋" w:cs="宋体"/>
          <w:color w:val="auto"/>
          <w:szCs w:val="21"/>
        </w:rPr>
        <w:t>符合《供应商须知前附表》的相应条件；</w:t>
      </w:r>
    </w:p>
    <w:p w14:paraId="30FAA5FA">
      <w:pPr>
        <w:numPr>
          <w:ilvl w:val="3"/>
          <w:numId w:val="3"/>
        </w:numPr>
        <w:tabs>
          <w:tab w:val="clear" w:pos="2040"/>
        </w:tabs>
        <w:spacing w:line="360" w:lineRule="auto"/>
        <w:ind w:left="0" w:firstLine="0"/>
        <w:rPr>
          <w:rFonts w:ascii="仿宋" w:hAnsi="仿宋" w:eastAsia="仿宋" w:cs="宋体"/>
          <w:color w:val="auto"/>
          <w:szCs w:val="21"/>
        </w:rPr>
      </w:pPr>
      <w:r>
        <w:rPr>
          <w:rFonts w:hint="eastAsia" w:ascii="仿宋" w:hAnsi="仿宋" w:eastAsia="仿宋" w:cs="宋体"/>
          <w:color w:val="auto"/>
          <w:szCs w:val="21"/>
        </w:rPr>
        <w:t>通过竞争性磋商采购评定办法中初步审核的供应商。</w:t>
      </w:r>
    </w:p>
    <w:p w14:paraId="0440CE77">
      <w:pPr>
        <w:numPr>
          <w:ilvl w:val="1"/>
          <w:numId w:val="5"/>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 xml:space="preserve"> “成交供应商”</w:t>
      </w:r>
      <w:r>
        <w:rPr>
          <w:rFonts w:hint="eastAsia" w:ascii="仿宋" w:hAnsi="仿宋" w:eastAsia="仿宋" w:cs="宋体"/>
          <w:snapToGrid w:val="0"/>
          <w:color w:val="auto"/>
          <w:kern w:val="0"/>
          <w:szCs w:val="21"/>
          <w:lang w:val="zh-CN"/>
        </w:rPr>
        <w:t xml:space="preserve"> 是指经评审委员会评审推荐，采购人授予合同的供应商。</w:t>
      </w:r>
    </w:p>
    <w:p w14:paraId="2B069F3D">
      <w:pPr>
        <w:numPr>
          <w:ilvl w:val="0"/>
          <w:numId w:val="3"/>
        </w:numPr>
        <w:spacing w:line="360" w:lineRule="auto"/>
        <w:ind w:hanging="540"/>
        <w:outlineLvl w:val="1"/>
        <w:rPr>
          <w:rFonts w:ascii="仿宋" w:hAnsi="仿宋" w:eastAsia="仿宋" w:cs="宋体"/>
          <w:b/>
          <w:color w:val="auto"/>
          <w:szCs w:val="21"/>
        </w:rPr>
      </w:pPr>
      <w:bookmarkStart w:id="66" w:name="_Toc149035917"/>
      <w:bookmarkStart w:id="67" w:name="_Toc8230"/>
      <w:bookmarkStart w:id="68" w:name="_Toc478050527"/>
      <w:bookmarkStart w:id="69" w:name="_Toc8644"/>
      <w:bookmarkStart w:id="70" w:name="_Toc9974"/>
      <w:bookmarkStart w:id="71" w:name="_Toc30017"/>
      <w:bookmarkStart w:id="72" w:name="_Toc30503"/>
      <w:bookmarkStart w:id="73" w:name="_Toc149035916"/>
      <w:bookmarkStart w:id="74" w:name="_Toc478050526"/>
      <w:r>
        <w:rPr>
          <w:rFonts w:hint="eastAsia" w:ascii="仿宋" w:hAnsi="仿宋" w:eastAsia="仿宋" w:cs="宋体"/>
          <w:b/>
          <w:color w:val="auto"/>
          <w:szCs w:val="21"/>
        </w:rPr>
        <w:t>费用</w:t>
      </w:r>
      <w:bookmarkEnd w:id="66"/>
      <w:bookmarkEnd w:id="67"/>
      <w:bookmarkEnd w:id="68"/>
      <w:bookmarkEnd w:id="69"/>
      <w:bookmarkEnd w:id="70"/>
    </w:p>
    <w:p w14:paraId="71C15DA8">
      <w:pPr>
        <w:numPr>
          <w:ilvl w:val="1"/>
          <w:numId w:val="6"/>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供应商应承担所有与准备和参加磋商有关的费用，不论磋商的结果如何，采购人和采购代理机构均无义务和责任承担这些费用。</w:t>
      </w:r>
    </w:p>
    <w:p w14:paraId="7FCBDABA">
      <w:pPr>
        <w:numPr>
          <w:ilvl w:val="1"/>
          <w:numId w:val="6"/>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snapToGrid w:val="0"/>
          <w:color w:val="auto"/>
          <w:kern w:val="0"/>
          <w:szCs w:val="21"/>
          <w:lang w:val="zh-CN"/>
        </w:rPr>
        <w:t>成交服务费：成交供应商须在收到成交通知书时向采购代理机构支付成交服务费。服务费支付标准和方法</w:t>
      </w:r>
      <w:r>
        <w:rPr>
          <w:rFonts w:hint="eastAsia" w:ascii="仿宋" w:hAnsi="仿宋" w:eastAsia="仿宋" w:cs="宋体"/>
          <w:snapToGrid w:val="0"/>
          <w:color w:val="auto"/>
          <w:kern w:val="0"/>
          <w:szCs w:val="21"/>
        </w:rPr>
        <w:t>如下：</w:t>
      </w:r>
    </w:p>
    <w:p w14:paraId="543B01B1">
      <w:pPr>
        <w:pStyle w:val="7"/>
        <w:jc w:val="center"/>
        <w:rPr>
          <w:rFonts w:ascii="仿宋" w:hAnsi="仿宋" w:eastAsia="仿宋" w:cs="宋体"/>
          <w:color w:val="auto"/>
        </w:rPr>
      </w:pPr>
      <w:r>
        <w:rPr>
          <w:rFonts w:hint="eastAsia" w:ascii="仿宋" w:hAnsi="仿宋" w:eastAsia="仿宋" w:cs="宋体"/>
          <w:color w:val="auto"/>
          <w:szCs w:val="21"/>
        </w:rPr>
        <w:drawing>
          <wp:inline distT="0" distB="0" distL="0" distR="0">
            <wp:extent cx="3796030" cy="2279015"/>
            <wp:effectExtent l="0" t="0" r="4445" b="6985"/>
            <wp:docPr id="1027" name="图片 3" descr="1541662059(1)"/>
            <wp:cNvGraphicFramePr/>
            <a:graphic xmlns:a="http://schemas.openxmlformats.org/drawingml/2006/main">
              <a:graphicData uri="http://schemas.openxmlformats.org/drawingml/2006/picture">
                <pic:pic xmlns:pic="http://schemas.openxmlformats.org/drawingml/2006/picture">
                  <pic:nvPicPr>
                    <pic:cNvPr id="1027" name="图片 3" descr="1541662059(1)"/>
                    <pic:cNvPicPr/>
                  </pic:nvPicPr>
                  <pic:blipFill>
                    <a:blip r:embed="rId9" cstate="print"/>
                    <a:srcRect l="3277" t="3824" r="11554" b="15441"/>
                    <a:stretch>
                      <a:fillRect/>
                    </a:stretch>
                  </pic:blipFill>
                  <pic:spPr>
                    <a:xfrm>
                      <a:off x="0" y="0"/>
                      <a:ext cx="3796030" cy="2279015"/>
                    </a:xfrm>
                    <a:prstGeom prst="rect">
                      <a:avLst/>
                    </a:prstGeom>
                    <a:ln>
                      <a:noFill/>
                    </a:ln>
                  </pic:spPr>
                </pic:pic>
              </a:graphicData>
            </a:graphic>
          </wp:inline>
        </w:drawing>
      </w:r>
    </w:p>
    <w:p w14:paraId="66827D91">
      <w:pPr>
        <w:pStyle w:val="7"/>
        <w:rPr>
          <w:rFonts w:ascii="仿宋" w:hAnsi="仿宋" w:eastAsia="仿宋" w:cs="宋体"/>
          <w:color w:val="auto"/>
        </w:rPr>
      </w:pPr>
      <w:r>
        <w:rPr>
          <w:rFonts w:hint="eastAsia" w:ascii="仿宋" w:hAnsi="仿宋" w:eastAsia="仿宋" w:cs="宋体"/>
          <w:color w:val="auto"/>
        </w:rPr>
        <w:t>注：招标代理服务收费按差额定率累进法计算。例如：某货物招标代理业务中标金额为1000万元，按照标准收费的80%收取服务费，计算招标代理服务收费额如下：</w:t>
      </w:r>
    </w:p>
    <w:p w14:paraId="5CF86A1D">
      <w:pPr>
        <w:pStyle w:val="7"/>
        <w:ind w:firstLine="840" w:firstLineChars="400"/>
        <w:rPr>
          <w:rFonts w:ascii="仿宋" w:hAnsi="仿宋" w:eastAsia="仿宋" w:cs="宋体"/>
          <w:color w:val="auto"/>
        </w:rPr>
      </w:pPr>
      <w:r>
        <w:rPr>
          <w:rFonts w:hint="eastAsia" w:ascii="仿宋" w:hAnsi="仿宋" w:eastAsia="仿宋" w:cs="宋体"/>
          <w:color w:val="auto"/>
        </w:rPr>
        <w:t>100×1.5%=1.5万元</w:t>
      </w:r>
    </w:p>
    <w:p w14:paraId="176E48FB">
      <w:pPr>
        <w:pStyle w:val="7"/>
        <w:ind w:firstLine="840" w:firstLineChars="400"/>
        <w:rPr>
          <w:rFonts w:ascii="仿宋" w:hAnsi="仿宋" w:eastAsia="仿宋" w:cs="宋体"/>
          <w:color w:val="auto"/>
        </w:rPr>
      </w:pPr>
      <w:r>
        <w:rPr>
          <w:rFonts w:hint="eastAsia" w:ascii="仿宋" w:hAnsi="仿宋" w:eastAsia="仿宋" w:cs="宋体"/>
          <w:color w:val="auto"/>
        </w:rPr>
        <w:t>(500-100)×1.1%=4.4万元</w:t>
      </w:r>
    </w:p>
    <w:p w14:paraId="23280587">
      <w:pPr>
        <w:pStyle w:val="7"/>
        <w:ind w:firstLine="840" w:firstLineChars="400"/>
        <w:rPr>
          <w:rFonts w:ascii="仿宋" w:hAnsi="仿宋" w:eastAsia="仿宋" w:cs="宋体"/>
          <w:color w:val="auto"/>
        </w:rPr>
      </w:pPr>
      <w:r>
        <w:rPr>
          <w:rFonts w:hint="eastAsia" w:ascii="仿宋" w:hAnsi="仿宋" w:eastAsia="仿宋" w:cs="宋体"/>
          <w:color w:val="auto"/>
        </w:rPr>
        <w:t>(1000-500)×0.8%=4万元</w:t>
      </w:r>
    </w:p>
    <w:p w14:paraId="31BFBEBE">
      <w:pPr>
        <w:pStyle w:val="7"/>
        <w:rPr>
          <w:rFonts w:ascii="仿宋" w:hAnsi="仿宋" w:eastAsia="仿宋" w:cs="宋体"/>
          <w:color w:val="auto"/>
          <w:szCs w:val="21"/>
        </w:rPr>
      </w:pPr>
      <w:r>
        <w:rPr>
          <w:rFonts w:hint="eastAsia" w:ascii="仿宋" w:hAnsi="仿宋" w:eastAsia="仿宋" w:cs="宋体"/>
          <w:color w:val="auto"/>
        </w:rPr>
        <w:t>收费金额=（1.5+4.4+4）×80%=7.92万元(收费金额四舍五入保留整数，单位：元）</w:t>
      </w:r>
    </w:p>
    <w:p w14:paraId="5246B718">
      <w:pPr>
        <w:numPr>
          <w:ilvl w:val="0"/>
          <w:numId w:val="3"/>
        </w:numPr>
        <w:spacing w:line="360" w:lineRule="auto"/>
        <w:ind w:hanging="540"/>
        <w:outlineLvl w:val="1"/>
        <w:rPr>
          <w:rFonts w:ascii="仿宋" w:hAnsi="仿宋" w:eastAsia="仿宋" w:cs="宋体"/>
          <w:b/>
          <w:color w:val="auto"/>
          <w:szCs w:val="21"/>
        </w:rPr>
      </w:pPr>
      <w:bookmarkStart w:id="75" w:name="_Toc13982"/>
      <w:r>
        <w:rPr>
          <w:rFonts w:hint="eastAsia" w:ascii="仿宋" w:hAnsi="仿宋" w:eastAsia="仿宋" w:cs="宋体"/>
          <w:b/>
          <w:snapToGrid w:val="0"/>
          <w:color w:val="auto"/>
          <w:kern w:val="0"/>
          <w:szCs w:val="21"/>
          <w:lang w:val="zh-CN"/>
        </w:rPr>
        <w:t>工程、货物及服务</w:t>
      </w:r>
      <w:bookmarkEnd w:id="71"/>
      <w:bookmarkEnd w:id="72"/>
      <w:bookmarkEnd w:id="73"/>
      <w:bookmarkEnd w:id="74"/>
      <w:bookmarkEnd w:id="75"/>
    </w:p>
    <w:p w14:paraId="34824B03">
      <w:pPr>
        <w:numPr>
          <w:ilvl w:val="1"/>
          <w:numId w:val="7"/>
        </w:numPr>
        <w:tabs>
          <w:tab w:val="clear" w:pos="360"/>
        </w:tabs>
        <w:spacing w:line="360" w:lineRule="auto"/>
        <w:ind w:left="540" w:hanging="540"/>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“工程”是指建设工程，包括建筑物和构筑物的新建、改建、扩建及其相关的装修、拆除、修缮等。</w:t>
      </w:r>
    </w:p>
    <w:p w14:paraId="1C346EA7">
      <w:pPr>
        <w:numPr>
          <w:ilvl w:val="1"/>
          <w:numId w:val="7"/>
        </w:numPr>
        <w:tabs>
          <w:tab w:val="clear" w:pos="360"/>
        </w:tabs>
        <w:spacing w:line="360" w:lineRule="auto"/>
        <w:ind w:left="540" w:hanging="540"/>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“货物”是指各种形态和种类的物品，包括原材料、燃料、设备、产品等。</w:t>
      </w:r>
    </w:p>
    <w:p w14:paraId="76825EAA">
      <w:pPr>
        <w:numPr>
          <w:ilvl w:val="1"/>
          <w:numId w:val="7"/>
        </w:numPr>
        <w:tabs>
          <w:tab w:val="clear" w:pos="360"/>
        </w:tabs>
        <w:spacing w:line="360" w:lineRule="auto"/>
        <w:ind w:left="540" w:hanging="540"/>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“服务”是指除货物（指各种形态和种类的物品，包括原材料、燃料、设备、产品等）和工程（指建设工程，包括建筑物和构筑物的新建、改建、扩建及其相关的装修、拆除、修缮等）以外的其他采购对象。</w:t>
      </w:r>
    </w:p>
    <w:p w14:paraId="67F9EB15">
      <w:pPr>
        <w:numPr>
          <w:ilvl w:val="1"/>
          <w:numId w:val="2"/>
        </w:numPr>
        <w:tabs>
          <w:tab w:val="clear" w:pos="840"/>
        </w:tabs>
        <w:spacing w:line="360" w:lineRule="auto"/>
        <w:ind w:left="540" w:hanging="540"/>
        <w:outlineLvl w:val="1"/>
        <w:rPr>
          <w:rFonts w:ascii="仿宋" w:hAnsi="仿宋" w:eastAsia="仿宋" w:cs="宋体"/>
          <w:b/>
          <w:color w:val="auto"/>
          <w:szCs w:val="21"/>
        </w:rPr>
      </w:pPr>
      <w:bookmarkStart w:id="76" w:name="_Toc478050528"/>
      <w:bookmarkStart w:id="77" w:name="_Toc8311"/>
      <w:bookmarkStart w:id="78" w:name="_Toc24092"/>
      <w:bookmarkStart w:id="79" w:name="_Toc149035918"/>
      <w:r>
        <w:rPr>
          <w:rFonts w:hint="eastAsia" w:ascii="仿宋" w:hAnsi="仿宋" w:eastAsia="仿宋" w:cs="宋体"/>
          <w:b/>
          <w:color w:val="auto"/>
          <w:szCs w:val="21"/>
        </w:rPr>
        <w:t>竞争性磋商采购文件</w:t>
      </w:r>
      <w:bookmarkEnd w:id="76"/>
      <w:bookmarkEnd w:id="77"/>
      <w:bookmarkEnd w:id="78"/>
      <w:bookmarkEnd w:id="79"/>
    </w:p>
    <w:p w14:paraId="2D450442">
      <w:pPr>
        <w:numPr>
          <w:ilvl w:val="0"/>
          <w:numId w:val="3"/>
        </w:numPr>
        <w:spacing w:line="360" w:lineRule="auto"/>
        <w:ind w:hanging="540"/>
        <w:outlineLvl w:val="1"/>
        <w:rPr>
          <w:rFonts w:ascii="仿宋" w:hAnsi="仿宋" w:eastAsia="仿宋" w:cs="宋体"/>
          <w:b/>
          <w:color w:val="auto"/>
          <w:szCs w:val="21"/>
        </w:rPr>
      </w:pPr>
      <w:bookmarkStart w:id="80" w:name="_Toc478050529"/>
      <w:bookmarkStart w:id="81" w:name="_Toc5278"/>
      <w:bookmarkStart w:id="82" w:name="_Toc28831"/>
      <w:bookmarkStart w:id="83" w:name="_Toc149035919"/>
      <w:bookmarkStart w:id="84" w:name="_Toc4547"/>
      <w:r>
        <w:rPr>
          <w:rFonts w:hint="eastAsia" w:ascii="仿宋" w:hAnsi="仿宋" w:eastAsia="仿宋" w:cs="宋体"/>
          <w:b/>
          <w:color w:val="auto"/>
          <w:szCs w:val="21"/>
        </w:rPr>
        <w:t>竞争性磋商采购文件的构成</w:t>
      </w:r>
      <w:bookmarkEnd w:id="80"/>
      <w:bookmarkEnd w:id="81"/>
      <w:bookmarkEnd w:id="82"/>
      <w:bookmarkEnd w:id="83"/>
      <w:bookmarkEnd w:id="84"/>
    </w:p>
    <w:p w14:paraId="05A8DC18">
      <w:pPr>
        <w:numPr>
          <w:ilvl w:val="1"/>
          <w:numId w:val="8"/>
        </w:numPr>
        <w:tabs>
          <w:tab w:val="clear" w:pos="360"/>
        </w:tabs>
        <w:spacing w:line="360" w:lineRule="auto"/>
        <w:ind w:left="540" w:hanging="540"/>
        <w:rPr>
          <w:rFonts w:ascii="仿宋" w:hAnsi="仿宋" w:eastAsia="仿宋" w:cs="宋体"/>
          <w:color w:val="auto"/>
          <w:szCs w:val="21"/>
        </w:rPr>
      </w:pPr>
      <w:r>
        <w:rPr>
          <w:rFonts w:hint="eastAsia" w:ascii="仿宋" w:hAnsi="仿宋" w:eastAsia="仿宋" w:cs="宋体"/>
          <w:snapToGrid w:val="0"/>
          <w:color w:val="auto"/>
          <w:kern w:val="0"/>
          <w:szCs w:val="21"/>
          <w:lang w:val="zh-CN"/>
        </w:rPr>
        <w:t>本竞争性磋商采购文件包括：</w:t>
      </w:r>
    </w:p>
    <w:p w14:paraId="5F89A869">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snapToGrid w:val="0"/>
          <w:color w:val="auto"/>
          <w:kern w:val="0"/>
          <w:szCs w:val="21"/>
          <w:lang w:val="zh-CN"/>
        </w:rPr>
        <w:t>竞争性磋商采购</w:t>
      </w:r>
      <w:r>
        <w:rPr>
          <w:rFonts w:hint="eastAsia" w:ascii="仿宋" w:hAnsi="仿宋" w:eastAsia="仿宋" w:cs="宋体"/>
          <w:color w:val="auto"/>
          <w:szCs w:val="21"/>
        </w:rPr>
        <w:t>公告（代磋商邀请函）</w:t>
      </w:r>
    </w:p>
    <w:p w14:paraId="6AE3ACE1">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供应商须知</w:t>
      </w:r>
    </w:p>
    <w:p w14:paraId="5E245EB1">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采购需求</w:t>
      </w:r>
    </w:p>
    <w:p w14:paraId="449E4E74">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lang w:val="en-US" w:eastAsia="zh-CN"/>
        </w:rPr>
        <w:t>评分</w:t>
      </w:r>
      <w:r>
        <w:rPr>
          <w:rFonts w:hint="eastAsia" w:ascii="仿宋" w:hAnsi="仿宋" w:eastAsia="仿宋" w:cs="宋体"/>
          <w:color w:val="auto"/>
          <w:szCs w:val="21"/>
        </w:rPr>
        <w:t>办法</w:t>
      </w:r>
    </w:p>
    <w:p w14:paraId="30647B63">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合同书</w:t>
      </w:r>
    </w:p>
    <w:p w14:paraId="1DD6735A">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竞争性磋商响应文件格式</w:t>
      </w:r>
    </w:p>
    <w:p w14:paraId="09A097B6">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snapToGrid w:val="0"/>
          <w:color w:val="auto"/>
          <w:kern w:val="0"/>
          <w:szCs w:val="21"/>
          <w:lang w:val="zh-CN"/>
        </w:rPr>
        <w:t>采购过程中由采购代理机构发出的澄清和修正文件</w:t>
      </w:r>
    </w:p>
    <w:p w14:paraId="5C9FCDC6">
      <w:pPr>
        <w:numPr>
          <w:ilvl w:val="3"/>
          <w:numId w:val="3"/>
        </w:numPr>
        <w:tabs>
          <w:tab w:val="clear" w:pos="2040"/>
        </w:tabs>
        <w:spacing w:line="360" w:lineRule="auto"/>
        <w:ind w:left="540" w:hanging="540"/>
        <w:rPr>
          <w:rFonts w:ascii="仿宋" w:hAnsi="仿宋" w:eastAsia="仿宋" w:cs="宋体"/>
          <w:color w:val="auto"/>
          <w:szCs w:val="21"/>
        </w:rPr>
      </w:pPr>
      <w:r>
        <w:rPr>
          <w:rFonts w:hint="eastAsia" w:ascii="仿宋" w:hAnsi="仿宋" w:eastAsia="仿宋" w:cs="宋体"/>
          <w:color w:val="auto"/>
          <w:szCs w:val="21"/>
        </w:rPr>
        <w:t>评审委员会在磋商过程中发出的对本磋商文件的实质性变动</w:t>
      </w:r>
    </w:p>
    <w:p w14:paraId="15B58BC2">
      <w:pPr>
        <w:numPr>
          <w:ilvl w:val="0"/>
          <w:numId w:val="3"/>
        </w:numPr>
        <w:spacing w:line="360" w:lineRule="auto"/>
        <w:ind w:hanging="540"/>
        <w:outlineLvl w:val="1"/>
        <w:rPr>
          <w:rFonts w:ascii="仿宋" w:hAnsi="仿宋" w:eastAsia="仿宋" w:cs="宋体"/>
          <w:b/>
          <w:snapToGrid w:val="0"/>
          <w:color w:val="auto"/>
          <w:kern w:val="0"/>
          <w:szCs w:val="21"/>
          <w:lang w:val="zh-CN"/>
        </w:rPr>
      </w:pPr>
      <w:bookmarkStart w:id="85" w:name="_Toc478050530"/>
      <w:bookmarkStart w:id="86" w:name="_Toc274"/>
      <w:bookmarkStart w:id="87" w:name="_Toc149035920"/>
      <w:bookmarkStart w:id="88" w:name="_Toc12439"/>
      <w:bookmarkStart w:id="89" w:name="_Toc29700"/>
      <w:r>
        <w:rPr>
          <w:rFonts w:hint="eastAsia" w:ascii="仿宋" w:hAnsi="仿宋" w:eastAsia="仿宋" w:cs="宋体"/>
          <w:b/>
          <w:snapToGrid w:val="0"/>
          <w:color w:val="auto"/>
          <w:kern w:val="0"/>
          <w:szCs w:val="21"/>
          <w:lang w:val="zh-CN"/>
        </w:rPr>
        <w:t>竞争性磋商采购文件的澄清</w:t>
      </w:r>
      <w:bookmarkEnd w:id="85"/>
      <w:bookmarkEnd w:id="86"/>
      <w:bookmarkEnd w:id="87"/>
      <w:bookmarkEnd w:id="88"/>
      <w:bookmarkEnd w:id="89"/>
    </w:p>
    <w:p w14:paraId="1ED9F6F4">
      <w:pPr>
        <w:numPr>
          <w:ilvl w:val="1"/>
          <w:numId w:val="9"/>
        </w:numPr>
        <w:tabs>
          <w:tab w:val="clear" w:pos="36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供应商获取竞争性磋商采购文件后，应认真检查，如发现页数不全、附件缺失、印刷模糊等，应通知采购代理机构补全或更换，否则风险自负。</w:t>
      </w:r>
    </w:p>
    <w:p w14:paraId="777261B9">
      <w:pPr>
        <w:numPr>
          <w:ilvl w:val="1"/>
          <w:numId w:val="9"/>
        </w:numPr>
        <w:tabs>
          <w:tab w:val="clear" w:pos="36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要求对本竞争性磋商采购文件进行澄清的，应以书面形式（包括信函、电报、传真等可以有形地表现所载内容的形式，下同）在提疑截止时间以前向采购代理机构或采购人提出，提疑截止时间见《供应商须知前附表》。</w:t>
      </w:r>
    </w:p>
    <w:p w14:paraId="4E551F43">
      <w:pPr>
        <w:autoSpaceDE w:val="0"/>
        <w:autoSpaceDN w:val="0"/>
        <w:adjustRightInd w:val="0"/>
        <w:spacing w:line="360" w:lineRule="auto"/>
        <w:ind w:left="540" w:leftChars="257" w:firstLine="420" w:firstLineChars="20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采购代理机构对于符合澄清要求的，将以书面形式给所有接收磋商文件的供应商予以答复(答复中不包括问题的来源)，供应商收到答复后应在24小时内以书面形式向采购代理机构予以确认。</w:t>
      </w:r>
    </w:p>
    <w:p w14:paraId="4ED918F9">
      <w:pPr>
        <w:numPr>
          <w:ilvl w:val="1"/>
          <w:numId w:val="9"/>
        </w:numPr>
        <w:tabs>
          <w:tab w:val="clear" w:pos="36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供应商在规定的时间内未对竞争性磋商采购文件澄清或提出疑问的，采购代理机构将视其为同意。</w:t>
      </w:r>
    </w:p>
    <w:p w14:paraId="6A39E247">
      <w:pPr>
        <w:numPr>
          <w:ilvl w:val="1"/>
          <w:numId w:val="9"/>
        </w:numPr>
        <w:tabs>
          <w:tab w:val="clear" w:pos="36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澄清的内容是本竞争性磋商采购文件的组成部分，当竞争性磋商采购文件</w:t>
      </w:r>
      <w:r>
        <w:rPr>
          <w:rFonts w:hint="eastAsia" w:ascii="仿宋" w:hAnsi="仿宋" w:eastAsia="仿宋" w:cs="宋体"/>
          <w:color w:val="auto"/>
          <w:szCs w:val="21"/>
        </w:rPr>
        <w:t>、澄清文件对同一内容的表述不一致时，以最后发出的书面文件为准。</w:t>
      </w:r>
    </w:p>
    <w:p w14:paraId="031549F6">
      <w:pPr>
        <w:numPr>
          <w:ilvl w:val="0"/>
          <w:numId w:val="3"/>
        </w:numPr>
        <w:spacing w:line="360" w:lineRule="auto"/>
        <w:ind w:hanging="540"/>
        <w:outlineLvl w:val="1"/>
        <w:rPr>
          <w:rFonts w:ascii="仿宋" w:hAnsi="仿宋" w:eastAsia="仿宋" w:cs="宋体"/>
          <w:b/>
          <w:snapToGrid w:val="0"/>
          <w:color w:val="auto"/>
          <w:kern w:val="0"/>
          <w:szCs w:val="21"/>
          <w:lang w:val="zh-CN"/>
        </w:rPr>
      </w:pPr>
      <w:bookmarkStart w:id="90" w:name="_Toc31761"/>
      <w:bookmarkStart w:id="91" w:name="_Toc3828"/>
      <w:bookmarkStart w:id="92" w:name="_Toc478050531"/>
      <w:bookmarkStart w:id="93" w:name="_Toc22481"/>
      <w:bookmarkStart w:id="94" w:name="_Toc149035921"/>
      <w:r>
        <w:rPr>
          <w:rFonts w:hint="eastAsia" w:ascii="仿宋" w:hAnsi="仿宋" w:eastAsia="仿宋" w:cs="宋体"/>
          <w:b/>
          <w:snapToGrid w:val="0"/>
          <w:color w:val="auto"/>
          <w:kern w:val="0"/>
          <w:szCs w:val="21"/>
          <w:lang w:val="zh-CN"/>
        </w:rPr>
        <w:t>竞争性磋商采购文件的修改</w:t>
      </w:r>
      <w:bookmarkEnd w:id="90"/>
      <w:bookmarkEnd w:id="91"/>
      <w:bookmarkEnd w:id="92"/>
      <w:bookmarkEnd w:id="93"/>
      <w:bookmarkEnd w:id="94"/>
    </w:p>
    <w:p w14:paraId="4C7B4AF6">
      <w:pPr>
        <w:numPr>
          <w:ilvl w:val="1"/>
          <w:numId w:val="10"/>
        </w:numPr>
        <w:tabs>
          <w:tab w:val="clear" w:pos="36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提交首次响应文件截止之日前，采购人、采购代理机构可以对本竞争性磋商采购文件进行必要的修改，修改的内容是磋商文件的组成部分，采购代理机构将以书面形式通知所有接受磋商文件的供应商，供应商在收到上述通知后，应在24小时内以书面形式向采购代理机构予以确认。</w:t>
      </w:r>
    </w:p>
    <w:p w14:paraId="358D7B49">
      <w:pPr>
        <w:numPr>
          <w:ilvl w:val="1"/>
          <w:numId w:val="10"/>
        </w:numPr>
        <w:tabs>
          <w:tab w:val="clear" w:pos="36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当磋商文件、修改文件对同一内容的表述不一致时，以最后发出的书面文件为准。</w:t>
      </w:r>
    </w:p>
    <w:p w14:paraId="44F6D2E9">
      <w:pPr>
        <w:numPr>
          <w:ilvl w:val="1"/>
          <w:numId w:val="10"/>
        </w:numPr>
        <w:tabs>
          <w:tab w:val="clear" w:pos="360"/>
        </w:tabs>
        <w:autoSpaceDE w:val="0"/>
        <w:autoSpaceDN w:val="0"/>
        <w:adjustRightInd w:val="0"/>
        <w:spacing w:line="360" w:lineRule="auto"/>
        <w:ind w:left="540" w:hanging="540"/>
        <w:jc w:val="left"/>
        <w:rPr>
          <w:rFonts w:ascii="仿宋" w:hAnsi="仿宋" w:eastAsia="仿宋" w:cs="宋体"/>
          <w:color w:val="auto"/>
          <w:szCs w:val="21"/>
        </w:rPr>
      </w:pPr>
      <w:r>
        <w:rPr>
          <w:rFonts w:hint="eastAsia" w:ascii="仿宋" w:hAnsi="仿宋" w:eastAsia="仿宋" w:cs="宋体"/>
          <w:snapToGrid w:val="0"/>
          <w:color w:val="auto"/>
          <w:kern w:val="0"/>
          <w:szCs w:val="21"/>
          <w:lang w:val="zh-CN"/>
        </w:rPr>
        <w:t>修改的内容可能影响响应文件编制的，修改文件应当在提交首次响应文件截止之日3个工作日前发出，不足3个工作日的，采购人、采购代理机构将顺延提交首次响应文件截止之日。</w:t>
      </w:r>
    </w:p>
    <w:p w14:paraId="0FB17062">
      <w:pPr>
        <w:numPr>
          <w:ilvl w:val="1"/>
          <w:numId w:val="2"/>
        </w:numPr>
        <w:tabs>
          <w:tab w:val="clear" w:pos="840"/>
        </w:tabs>
        <w:spacing w:line="360" w:lineRule="auto"/>
        <w:ind w:left="540" w:hanging="540"/>
        <w:outlineLvl w:val="1"/>
        <w:rPr>
          <w:rFonts w:ascii="仿宋" w:hAnsi="仿宋" w:eastAsia="仿宋" w:cs="宋体"/>
          <w:b/>
          <w:color w:val="auto"/>
          <w:szCs w:val="21"/>
        </w:rPr>
      </w:pPr>
      <w:bookmarkStart w:id="95" w:name="_Toc149035922"/>
      <w:bookmarkStart w:id="96" w:name="_Toc8716"/>
      <w:bookmarkStart w:id="97" w:name="_Toc867"/>
      <w:bookmarkStart w:id="98" w:name="_Toc478050532"/>
      <w:r>
        <w:rPr>
          <w:rFonts w:hint="eastAsia" w:ascii="仿宋" w:hAnsi="仿宋" w:eastAsia="仿宋" w:cs="宋体"/>
          <w:b/>
          <w:color w:val="auto"/>
          <w:szCs w:val="21"/>
        </w:rPr>
        <w:t>竞争性磋商响应文件</w:t>
      </w:r>
      <w:bookmarkEnd w:id="95"/>
      <w:bookmarkEnd w:id="96"/>
      <w:bookmarkEnd w:id="97"/>
      <w:bookmarkEnd w:id="98"/>
    </w:p>
    <w:p w14:paraId="28CDC97A">
      <w:pPr>
        <w:numPr>
          <w:ilvl w:val="0"/>
          <w:numId w:val="3"/>
        </w:numPr>
        <w:spacing w:line="360" w:lineRule="auto"/>
        <w:ind w:hanging="540"/>
        <w:outlineLvl w:val="1"/>
        <w:rPr>
          <w:rFonts w:ascii="仿宋" w:hAnsi="仿宋" w:eastAsia="仿宋" w:cs="宋体"/>
          <w:snapToGrid w:val="0"/>
          <w:color w:val="auto"/>
          <w:kern w:val="0"/>
          <w:szCs w:val="21"/>
          <w:lang w:val="zh-CN"/>
        </w:rPr>
      </w:pPr>
      <w:bookmarkStart w:id="99" w:name="_Toc829"/>
      <w:bookmarkStart w:id="100" w:name="_Toc9434"/>
      <w:bookmarkStart w:id="101" w:name="_Toc478050533"/>
      <w:bookmarkStart w:id="102" w:name="_Toc149035923"/>
      <w:bookmarkStart w:id="103" w:name="_Toc30987"/>
      <w:r>
        <w:rPr>
          <w:rFonts w:hint="eastAsia" w:ascii="仿宋" w:hAnsi="仿宋" w:eastAsia="仿宋" w:cs="宋体"/>
          <w:b/>
          <w:snapToGrid w:val="0"/>
          <w:color w:val="auto"/>
          <w:kern w:val="0"/>
          <w:szCs w:val="21"/>
          <w:lang w:val="zh-CN"/>
        </w:rPr>
        <w:t>语言和计量单位</w:t>
      </w:r>
      <w:bookmarkEnd w:id="99"/>
      <w:bookmarkEnd w:id="100"/>
      <w:bookmarkEnd w:id="101"/>
      <w:bookmarkEnd w:id="102"/>
      <w:bookmarkEnd w:id="103"/>
    </w:p>
    <w:p w14:paraId="30DC8F6F">
      <w:pPr>
        <w:numPr>
          <w:ilvl w:val="1"/>
          <w:numId w:val="11"/>
        </w:numPr>
        <w:tabs>
          <w:tab w:val="clear" w:pos="360"/>
        </w:tabs>
        <w:spacing w:line="360" w:lineRule="auto"/>
        <w:ind w:left="540" w:hanging="540"/>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提交的竞争性磋商响应文件以及供应商与采购代理机构或采购人就有关磋商的所有来往函电均应使用中文。供应商提交的支持文件或印刷的文献可以用另一种语言，但相应内容应附有中文翻译本，在解释竞争性磋商响应文件时以中文翻译本为准。</w:t>
      </w:r>
    </w:p>
    <w:p w14:paraId="6606B784">
      <w:pPr>
        <w:numPr>
          <w:ilvl w:val="1"/>
          <w:numId w:val="11"/>
        </w:numPr>
        <w:tabs>
          <w:tab w:val="clear" w:pos="360"/>
        </w:tabs>
        <w:spacing w:line="360" w:lineRule="auto"/>
        <w:ind w:left="540" w:hanging="540"/>
        <w:rPr>
          <w:rFonts w:ascii="仿宋" w:hAnsi="仿宋" w:eastAsia="仿宋" w:cs="宋体"/>
          <w:b/>
          <w:snapToGrid w:val="0"/>
          <w:color w:val="auto"/>
          <w:kern w:val="0"/>
          <w:szCs w:val="21"/>
          <w:lang w:val="zh-CN"/>
        </w:rPr>
      </w:pPr>
      <w:r>
        <w:rPr>
          <w:rFonts w:hint="eastAsia" w:ascii="仿宋" w:hAnsi="仿宋" w:eastAsia="仿宋" w:cs="宋体"/>
          <w:snapToGrid w:val="0"/>
          <w:color w:val="auto"/>
          <w:kern w:val="0"/>
          <w:szCs w:val="21"/>
          <w:lang w:val="zh-CN"/>
        </w:rPr>
        <w:t>除非竞争性磋商采购文件中另有规定，计量单位均采用中华人民共和国法定的计量单位。</w:t>
      </w:r>
    </w:p>
    <w:p w14:paraId="2F580A23">
      <w:pPr>
        <w:numPr>
          <w:ilvl w:val="0"/>
          <w:numId w:val="3"/>
        </w:numPr>
        <w:spacing w:line="360" w:lineRule="auto"/>
        <w:ind w:hanging="540"/>
        <w:outlineLvl w:val="1"/>
        <w:rPr>
          <w:rFonts w:ascii="仿宋" w:hAnsi="仿宋" w:eastAsia="仿宋" w:cs="宋体"/>
          <w:b/>
          <w:snapToGrid w:val="0"/>
          <w:color w:val="auto"/>
          <w:kern w:val="0"/>
          <w:szCs w:val="21"/>
          <w:lang w:val="zh-CN"/>
        </w:rPr>
      </w:pPr>
      <w:bookmarkStart w:id="104" w:name="_Toc31775"/>
      <w:bookmarkStart w:id="105" w:name="_Toc32272"/>
      <w:bookmarkStart w:id="106" w:name="_Toc478050534"/>
      <w:bookmarkStart w:id="107" w:name="_Toc149035924"/>
      <w:bookmarkStart w:id="108" w:name="_Toc24106"/>
      <w:r>
        <w:rPr>
          <w:rFonts w:hint="eastAsia" w:ascii="仿宋" w:hAnsi="仿宋" w:eastAsia="仿宋" w:cs="宋体"/>
          <w:b/>
          <w:snapToGrid w:val="0"/>
          <w:color w:val="auto"/>
          <w:kern w:val="0"/>
          <w:szCs w:val="21"/>
          <w:lang w:val="zh-CN"/>
        </w:rPr>
        <w:t>竞争性磋商响应文件的构成</w:t>
      </w:r>
      <w:bookmarkEnd w:id="104"/>
      <w:bookmarkEnd w:id="105"/>
      <w:bookmarkEnd w:id="106"/>
      <w:bookmarkEnd w:id="107"/>
      <w:bookmarkEnd w:id="108"/>
    </w:p>
    <w:p w14:paraId="0C1770A5">
      <w:pPr>
        <w:numPr>
          <w:ilvl w:val="1"/>
          <w:numId w:val="12"/>
        </w:numPr>
        <w:tabs>
          <w:tab w:val="clear" w:pos="360"/>
        </w:tabs>
        <w:autoSpaceDE w:val="0"/>
        <w:autoSpaceDN w:val="0"/>
        <w:adjustRightInd w:val="0"/>
        <w:spacing w:line="360" w:lineRule="auto"/>
        <w:ind w:left="0" w:firstLine="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供应商编制的竞争性磋商响应件应包括的内容详见本文件第六章要求。</w:t>
      </w:r>
    </w:p>
    <w:p w14:paraId="25753C59">
      <w:pPr>
        <w:autoSpaceDE w:val="0"/>
        <w:autoSpaceDN w:val="0"/>
        <w:adjustRightInd w:val="0"/>
        <w:spacing w:line="360" w:lineRule="auto"/>
        <w:jc w:val="left"/>
        <w:rPr>
          <w:rFonts w:ascii="仿宋" w:hAnsi="仿宋" w:eastAsia="仿宋" w:cs="宋体"/>
          <w:snapToGrid w:val="0"/>
          <w:color w:val="auto"/>
          <w:kern w:val="0"/>
          <w:szCs w:val="21"/>
          <w:lang w:val="zh-CN"/>
        </w:rPr>
      </w:pPr>
      <w:r>
        <w:rPr>
          <w:rFonts w:hint="eastAsia" w:ascii="仿宋" w:hAnsi="仿宋" w:eastAsia="仿宋" w:cs="宋体"/>
          <w:bCs/>
          <w:color w:val="auto"/>
          <w:szCs w:val="21"/>
        </w:rPr>
        <w:t>注：响应文件目录及内容每页须顺序编写页码。</w:t>
      </w:r>
    </w:p>
    <w:p w14:paraId="2CC2EAFF">
      <w:pPr>
        <w:numPr>
          <w:ilvl w:val="0"/>
          <w:numId w:val="3"/>
        </w:numPr>
        <w:spacing w:line="360" w:lineRule="auto"/>
        <w:ind w:hanging="540"/>
        <w:outlineLvl w:val="1"/>
        <w:rPr>
          <w:rFonts w:ascii="仿宋" w:hAnsi="仿宋" w:eastAsia="仿宋" w:cs="宋体"/>
          <w:b/>
          <w:snapToGrid w:val="0"/>
          <w:color w:val="auto"/>
          <w:kern w:val="0"/>
          <w:szCs w:val="21"/>
          <w:lang w:val="zh-CN"/>
        </w:rPr>
      </w:pPr>
      <w:bookmarkStart w:id="109" w:name="_Toc149035925"/>
      <w:bookmarkStart w:id="110" w:name="_Toc25217"/>
      <w:bookmarkStart w:id="111" w:name="_Toc2751"/>
      <w:bookmarkStart w:id="112" w:name="_Toc10261"/>
      <w:bookmarkStart w:id="113" w:name="_Toc478050535"/>
      <w:r>
        <w:rPr>
          <w:rFonts w:hint="eastAsia" w:ascii="仿宋" w:hAnsi="仿宋" w:eastAsia="仿宋" w:cs="宋体"/>
          <w:b/>
          <w:snapToGrid w:val="0"/>
          <w:color w:val="auto"/>
          <w:kern w:val="0"/>
          <w:szCs w:val="21"/>
          <w:lang w:val="zh-CN"/>
        </w:rPr>
        <w:t>竞争性磋商响应文件的编制</w:t>
      </w:r>
      <w:bookmarkEnd w:id="109"/>
      <w:bookmarkEnd w:id="110"/>
      <w:bookmarkEnd w:id="111"/>
      <w:bookmarkEnd w:id="112"/>
      <w:bookmarkEnd w:id="113"/>
    </w:p>
    <w:p w14:paraId="30DC7F5C">
      <w:pPr>
        <w:numPr>
          <w:ilvl w:val="1"/>
          <w:numId w:val="13"/>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供应商应当按照本采购文件的要求编制响应文件，并对其提交的响应文件及全部资料的真实性、合法性承担法律责任，并接受采购代理机构对其中任何资料进一步核实的要求。</w:t>
      </w:r>
    </w:p>
    <w:p w14:paraId="5D505408">
      <w:pPr>
        <w:numPr>
          <w:ilvl w:val="1"/>
          <w:numId w:val="13"/>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 xml:space="preserve">供应商应认真阅读本采购文件中的所有内容，并对本采购文件提出的要求和条件作出实质性响应。如供应商没有按照本采购文件的要求提交全部资料，或者没有对本采购文件在各方面都做出实质性响应的，其响应文件将被视为无效文件。 </w:t>
      </w:r>
    </w:p>
    <w:p w14:paraId="098EB701">
      <w:pPr>
        <w:numPr>
          <w:ilvl w:val="1"/>
          <w:numId w:val="13"/>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应完整地按本采购文件的要求提交所有资料并按要求的格式填写规定的所有内容，无相应内容可填项的，应填写“无”、“未测试”、“没有相应指标”等明确的回答文字。如未规定格式的，相关格式由供应商自定。</w:t>
      </w:r>
    </w:p>
    <w:p w14:paraId="09E0F2BA">
      <w:pPr>
        <w:numPr>
          <w:ilvl w:val="1"/>
          <w:numId w:val="13"/>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供应商在编制响应文件时应注意本次采购对多包采购的规定，多包采购的规定见《供应商须知前附表》。</w:t>
      </w:r>
    </w:p>
    <w:p w14:paraId="6D3C313E">
      <w:pPr>
        <w:numPr>
          <w:ilvl w:val="1"/>
          <w:numId w:val="13"/>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供应商应当对响应文件进行不可拆卸的装订，对未经装订的响应文件可能发生的文件散落或缺损及由此产生的后果由供应商承担。</w:t>
      </w:r>
    </w:p>
    <w:p w14:paraId="61DF6B31">
      <w:pPr>
        <w:numPr>
          <w:ilvl w:val="0"/>
          <w:numId w:val="3"/>
        </w:numPr>
        <w:spacing w:line="360" w:lineRule="auto"/>
        <w:ind w:hanging="540"/>
        <w:outlineLvl w:val="1"/>
        <w:rPr>
          <w:rFonts w:ascii="仿宋" w:hAnsi="仿宋" w:eastAsia="仿宋" w:cs="宋体"/>
          <w:b/>
          <w:snapToGrid w:val="0"/>
          <w:color w:val="auto"/>
          <w:kern w:val="0"/>
          <w:szCs w:val="21"/>
          <w:lang w:val="zh-CN"/>
        </w:rPr>
      </w:pPr>
      <w:bookmarkStart w:id="114" w:name="_Toc24544"/>
      <w:bookmarkStart w:id="115" w:name="_Toc2884"/>
      <w:bookmarkStart w:id="116" w:name="_Toc30641"/>
      <w:bookmarkStart w:id="117" w:name="_Toc149035926"/>
      <w:bookmarkStart w:id="118" w:name="_Toc478050536"/>
      <w:r>
        <w:rPr>
          <w:rFonts w:hint="eastAsia" w:ascii="仿宋" w:hAnsi="仿宋" w:eastAsia="仿宋" w:cs="宋体"/>
          <w:b/>
          <w:snapToGrid w:val="0"/>
          <w:color w:val="auto"/>
          <w:kern w:val="0"/>
          <w:szCs w:val="21"/>
          <w:lang w:val="zh-CN"/>
        </w:rPr>
        <w:t>磋商报价</w:t>
      </w:r>
      <w:bookmarkEnd w:id="114"/>
      <w:bookmarkEnd w:id="115"/>
      <w:bookmarkEnd w:id="116"/>
      <w:bookmarkEnd w:id="117"/>
      <w:bookmarkEnd w:id="118"/>
    </w:p>
    <w:p w14:paraId="50D48FD1">
      <w:pPr>
        <w:numPr>
          <w:ilvl w:val="1"/>
          <w:numId w:val="1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磋商报价包括磋商供应商在首次提交的响应文件中的报价、磋商过程中的报价和最后报价。磋商供应商的报价均应以人民币报价。</w:t>
      </w:r>
    </w:p>
    <w:p w14:paraId="7A775B9A">
      <w:pPr>
        <w:numPr>
          <w:ilvl w:val="1"/>
          <w:numId w:val="1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应按照本采购文件规定的采购需求及合同条款进行报价，并按竞争性磋商采购文件确定的格式报出。报价中不得包含竞争性磋商采购文件要求以外的内容，否则，在评审时不予核减。报价中也不得缺漏竞争性磋商采购文件所要求的内容，否则，其响应文件将被视为无效文件。</w:t>
      </w:r>
    </w:p>
    <w:p w14:paraId="4BA484D7">
      <w:pPr>
        <w:numPr>
          <w:ilvl w:val="1"/>
          <w:numId w:val="1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color w:val="auto"/>
          <w:szCs w:val="21"/>
        </w:rPr>
        <w:t>供应商应根据本磋商文件的规定和要求、市场价格水平及其走势、</w:t>
      </w:r>
      <w:r>
        <w:rPr>
          <w:rFonts w:hint="eastAsia" w:ascii="仿宋" w:hAnsi="仿宋" w:eastAsia="仿宋" w:cs="宋体"/>
          <w:snapToGrid w:val="0"/>
          <w:color w:val="auto"/>
          <w:kern w:val="0"/>
          <w:szCs w:val="21"/>
          <w:lang w:val="zh-CN"/>
        </w:rPr>
        <w:t>磋商</w:t>
      </w:r>
      <w:r>
        <w:rPr>
          <w:rFonts w:hint="eastAsia" w:ascii="仿宋" w:hAnsi="仿宋" w:eastAsia="仿宋" w:cs="宋体"/>
          <w:color w:val="auto"/>
          <w:szCs w:val="21"/>
        </w:rPr>
        <w:t>供应商的管理水平、</w:t>
      </w:r>
      <w:r>
        <w:rPr>
          <w:rFonts w:hint="eastAsia" w:ascii="仿宋" w:hAnsi="仿宋" w:eastAsia="仿宋" w:cs="宋体"/>
          <w:snapToGrid w:val="0"/>
          <w:color w:val="auto"/>
          <w:kern w:val="0"/>
          <w:szCs w:val="21"/>
          <w:lang w:val="zh-CN"/>
        </w:rPr>
        <w:t>磋商</w:t>
      </w:r>
      <w:r>
        <w:rPr>
          <w:rFonts w:hint="eastAsia" w:ascii="仿宋" w:hAnsi="仿宋" w:eastAsia="仿宋" w:cs="宋体"/>
          <w:color w:val="auto"/>
          <w:szCs w:val="21"/>
        </w:rPr>
        <w:t>供应商的</w:t>
      </w:r>
      <w:r>
        <w:rPr>
          <w:rFonts w:hint="eastAsia" w:ascii="仿宋" w:hAnsi="仿宋" w:eastAsia="仿宋" w:cs="宋体"/>
          <w:snapToGrid w:val="0"/>
          <w:color w:val="auto"/>
          <w:kern w:val="0"/>
          <w:szCs w:val="21"/>
          <w:lang w:val="zh-CN"/>
        </w:rPr>
        <w:t>方案</w:t>
      </w:r>
      <w:r>
        <w:rPr>
          <w:rFonts w:hint="eastAsia" w:ascii="仿宋" w:hAnsi="仿宋" w:eastAsia="仿宋" w:cs="宋体"/>
          <w:color w:val="auto"/>
          <w:szCs w:val="21"/>
        </w:rPr>
        <w:t>和由这些因素决定的磋商供应商之于本项目的成本水平等提出自己的报价。</w:t>
      </w:r>
      <w:r>
        <w:rPr>
          <w:rFonts w:hint="eastAsia" w:ascii="仿宋" w:hAnsi="仿宋" w:eastAsia="仿宋" w:cs="宋体"/>
          <w:snapToGrid w:val="0"/>
          <w:color w:val="auto"/>
          <w:kern w:val="0"/>
          <w:szCs w:val="21"/>
          <w:lang w:val="zh-CN"/>
        </w:rPr>
        <w:t>报价应包含完成本采购文件采购需求全部内容的所有费用，所有根据本采购文件或其它原因应由磋商供应商支付的税款和其他应交纳的费用都应包括在报价中。</w:t>
      </w:r>
      <w:r>
        <w:rPr>
          <w:rFonts w:hint="eastAsia" w:ascii="仿宋" w:hAnsi="仿宋" w:eastAsia="仿宋" w:cs="宋体"/>
          <w:color w:val="auto"/>
          <w:szCs w:val="21"/>
        </w:rPr>
        <w:t>但磋商供应商不得以低于其成本的价格进行报价。</w:t>
      </w:r>
    </w:p>
    <w:p w14:paraId="609E5AD6">
      <w:pPr>
        <w:numPr>
          <w:ilvl w:val="1"/>
          <w:numId w:val="1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color w:val="auto"/>
          <w:szCs w:val="21"/>
        </w:rPr>
        <w:t>供应商在响应文件中</w:t>
      </w:r>
      <w:r>
        <w:rPr>
          <w:rFonts w:hint="eastAsia" w:ascii="仿宋" w:hAnsi="仿宋" w:eastAsia="仿宋" w:cs="宋体"/>
          <w:snapToGrid w:val="0"/>
          <w:color w:val="auto"/>
          <w:kern w:val="0"/>
          <w:szCs w:val="21"/>
          <w:lang w:val="zh-CN"/>
        </w:rPr>
        <w:t>注明免费的项目将视为包含在报价中。</w:t>
      </w:r>
    </w:p>
    <w:p w14:paraId="617AA021">
      <w:pPr>
        <w:numPr>
          <w:ilvl w:val="1"/>
          <w:numId w:val="1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每一种采购内容只允许有一个报价，否则其响应文件将被视为无效文件。</w:t>
      </w:r>
    </w:p>
    <w:p w14:paraId="0C97BA7E">
      <w:pPr>
        <w:numPr>
          <w:ilvl w:val="1"/>
          <w:numId w:val="1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成交供应商的报价在合同执行过程中是固定不变的，不得以任何理由予以变更。</w:t>
      </w:r>
    </w:p>
    <w:p w14:paraId="6532D96C">
      <w:pPr>
        <w:numPr>
          <w:ilvl w:val="0"/>
          <w:numId w:val="3"/>
        </w:numPr>
        <w:tabs>
          <w:tab w:val="left" w:pos="864"/>
        </w:tabs>
        <w:spacing w:line="360" w:lineRule="auto"/>
        <w:ind w:hanging="540"/>
        <w:outlineLvl w:val="1"/>
        <w:rPr>
          <w:rFonts w:ascii="仿宋" w:hAnsi="仿宋" w:eastAsia="仿宋" w:cs="宋体"/>
          <w:b/>
          <w:snapToGrid w:val="0"/>
          <w:color w:val="auto"/>
          <w:kern w:val="0"/>
          <w:szCs w:val="21"/>
          <w:lang w:val="zh-CN"/>
        </w:rPr>
      </w:pPr>
      <w:bookmarkStart w:id="119" w:name="_Toc2164"/>
      <w:bookmarkStart w:id="120" w:name="_Toc149035927"/>
      <w:bookmarkStart w:id="121" w:name="_Toc478050537"/>
      <w:bookmarkStart w:id="122" w:name="_Toc6176"/>
      <w:bookmarkStart w:id="123" w:name="_Toc1912"/>
      <w:r>
        <w:rPr>
          <w:rFonts w:hint="eastAsia" w:ascii="仿宋" w:hAnsi="仿宋" w:eastAsia="仿宋" w:cs="宋体"/>
          <w:b/>
          <w:snapToGrid w:val="0"/>
          <w:color w:val="auto"/>
          <w:kern w:val="0"/>
          <w:szCs w:val="21"/>
          <w:lang w:val="zh-CN"/>
        </w:rPr>
        <w:t>备选方案</w:t>
      </w:r>
      <w:bookmarkEnd w:id="119"/>
      <w:bookmarkEnd w:id="120"/>
      <w:bookmarkEnd w:id="121"/>
      <w:bookmarkEnd w:id="122"/>
      <w:bookmarkEnd w:id="123"/>
    </w:p>
    <w:p w14:paraId="27ACFF5B">
      <w:pPr>
        <w:numPr>
          <w:ilvl w:val="1"/>
          <w:numId w:val="15"/>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 xml:space="preserve">是否允许备选方案见《供应商须知前附表》。不允许有备选方案的，若在响应文件中提交了备选方案，其响应文件将被视为无效文件。 </w:t>
      </w:r>
    </w:p>
    <w:p w14:paraId="3104925F">
      <w:pPr>
        <w:numPr>
          <w:ilvl w:val="0"/>
          <w:numId w:val="3"/>
        </w:numPr>
        <w:tabs>
          <w:tab w:val="left" w:pos="864"/>
        </w:tabs>
        <w:spacing w:line="360" w:lineRule="auto"/>
        <w:ind w:hanging="540"/>
        <w:outlineLvl w:val="1"/>
        <w:rPr>
          <w:rFonts w:ascii="仿宋" w:hAnsi="仿宋" w:eastAsia="仿宋" w:cs="宋体"/>
          <w:b/>
          <w:snapToGrid w:val="0"/>
          <w:color w:val="auto"/>
          <w:kern w:val="0"/>
          <w:szCs w:val="21"/>
          <w:lang w:val="zh-CN"/>
        </w:rPr>
      </w:pPr>
      <w:bookmarkStart w:id="124" w:name="_Toc3324"/>
      <w:bookmarkStart w:id="125" w:name="_Toc91"/>
      <w:bookmarkStart w:id="126" w:name="_Toc149035928"/>
      <w:bookmarkStart w:id="127" w:name="_Toc20674"/>
      <w:bookmarkStart w:id="128" w:name="_Toc478050538"/>
      <w:r>
        <w:rPr>
          <w:rFonts w:hint="eastAsia" w:ascii="仿宋" w:hAnsi="仿宋" w:eastAsia="仿宋" w:cs="宋体"/>
          <w:b/>
          <w:snapToGrid w:val="0"/>
          <w:color w:val="auto"/>
          <w:kern w:val="0"/>
          <w:szCs w:val="21"/>
          <w:lang w:val="zh-CN"/>
        </w:rPr>
        <w:t>联合体</w:t>
      </w:r>
      <w:bookmarkEnd w:id="124"/>
      <w:bookmarkEnd w:id="125"/>
      <w:bookmarkEnd w:id="126"/>
      <w:bookmarkEnd w:id="127"/>
      <w:bookmarkEnd w:id="128"/>
    </w:p>
    <w:p w14:paraId="3AEE3226">
      <w:pPr>
        <w:numPr>
          <w:ilvl w:val="1"/>
          <w:numId w:val="16"/>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 xml:space="preserve">本次采购是否允许联合体参加详见《供应商须知前附表》。 </w:t>
      </w:r>
    </w:p>
    <w:p w14:paraId="175736CC">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29" w:name="_Toc21927"/>
      <w:bookmarkStart w:id="130" w:name="_Toc2434"/>
      <w:bookmarkStart w:id="131" w:name="_Toc478050539"/>
      <w:bookmarkStart w:id="132" w:name="_Toc149035929"/>
      <w:bookmarkStart w:id="133" w:name="_Toc24391"/>
      <w:r>
        <w:rPr>
          <w:rFonts w:hint="eastAsia" w:ascii="仿宋" w:hAnsi="仿宋" w:eastAsia="仿宋" w:cs="宋体"/>
          <w:b/>
          <w:snapToGrid w:val="0"/>
          <w:color w:val="auto"/>
          <w:kern w:val="0"/>
          <w:szCs w:val="21"/>
          <w:lang w:val="zh-CN"/>
        </w:rPr>
        <w:t>供应商资格证明文件</w:t>
      </w:r>
      <w:bookmarkEnd w:id="129"/>
      <w:bookmarkEnd w:id="130"/>
      <w:bookmarkEnd w:id="131"/>
      <w:bookmarkEnd w:id="132"/>
      <w:bookmarkEnd w:id="133"/>
    </w:p>
    <w:p w14:paraId="0DCF7282">
      <w:pPr>
        <w:numPr>
          <w:ilvl w:val="1"/>
          <w:numId w:val="17"/>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供应商应在响应文件提交证明其有资格参加磋商的证明文件，证明文件应包括下列文件：</w:t>
      </w:r>
    </w:p>
    <w:p w14:paraId="195DFB30">
      <w:pPr>
        <w:numPr>
          <w:ilvl w:val="3"/>
          <w:numId w:val="18"/>
        </w:numPr>
        <w:tabs>
          <w:tab w:val="clear" w:pos="20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营业执照（复印件）；</w:t>
      </w:r>
    </w:p>
    <w:p w14:paraId="25158C04">
      <w:pPr>
        <w:numPr>
          <w:ilvl w:val="3"/>
          <w:numId w:val="18"/>
        </w:numPr>
        <w:tabs>
          <w:tab w:val="clear" w:pos="20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采购文件要求供应商应提交的其它资格证明文件，应提交的其它资格证明文件见《供应商须知前附表》。</w:t>
      </w:r>
    </w:p>
    <w:p w14:paraId="5C800C0A">
      <w:pPr>
        <w:numPr>
          <w:ilvl w:val="1"/>
          <w:numId w:val="17"/>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除本须知14.1要求的资格证明文件外，如国家法律法规对市场准入有要求的还应提交相关资格证明文件。</w:t>
      </w:r>
    </w:p>
    <w:p w14:paraId="0B55FFF1">
      <w:pPr>
        <w:numPr>
          <w:ilvl w:val="1"/>
          <w:numId w:val="17"/>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证明材料仅限于磋商供应商单位本身，母公司、股东单位和子公司的材料不能作为证明材料，但磋商供应商单位兼并的企业的材料可作为证明材料。采用复印件的必须加盖单位印章。</w:t>
      </w:r>
    </w:p>
    <w:p w14:paraId="3AC32BA8">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34" w:name="_Toc478050540"/>
      <w:bookmarkStart w:id="135" w:name="_Toc5468"/>
      <w:bookmarkStart w:id="136" w:name="_Toc9935"/>
      <w:bookmarkStart w:id="137" w:name="_Toc24335"/>
      <w:bookmarkStart w:id="138" w:name="_Toc149035930"/>
      <w:r>
        <w:rPr>
          <w:rFonts w:hint="eastAsia" w:ascii="仿宋" w:hAnsi="仿宋" w:eastAsia="仿宋" w:cs="宋体"/>
          <w:b/>
          <w:snapToGrid w:val="0"/>
          <w:color w:val="auto"/>
          <w:kern w:val="0"/>
          <w:szCs w:val="21"/>
          <w:lang w:val="zh-CN"/>
        </w:rPr>
        <w:t>证明报价内容、服务合格性和符合竞争性磋商采购文件规定的文件</w:t>
      </w:r>
      <w:bookmarkEnd w:id="134"/>
      <w:bookmarkEnd w:id="135"/>
      <w:bookmarkEnd w:id="136"/>
      <w:bookmarkEnd w:id="137"/>
      <w:bookmarkEnd w:id="138"/>
    </w:p>
    <w:p w14:paraId="34610BEB">
      <w:pPr>
        <w:numPr>
          <w:ilvl w:val="1"/>
          <w:numId w:val="19"/>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证明报价内容符合竞争性磋商采购文件要求的文件和竞争性磋商采购文件规定的其他资料，具体要求见《供应商须知前附表》。</w:t>
      </w:r>
    </w:p>
    <w:p w14:paraId="4E0D47EB">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39" w:name="_Toc478050541"/>
      <w:bookmarkStart w:id="140" w:name="_Toc149035931"/>
      <w:bookmarkStart w:id="141" w:name="_Toc27068"/>
      <w:bookmarkStart w:id="142" w:name="_Toc22787"/>
      <w:bookmarkStart w:id="143" w:name="_Toc30915"/>
      <w:r>
        <w:rPr>
          <w:rFonts w:hint="eastAsia" w:ascii="仿宋" w:hAnsi="仿宋" w:eastAsia="仿宋" w:cs="宋体"/>
          <w:b/>
          <w:snapToGrid w:val="0"/>
          <w:color w:val="auto"/>
          <w:kern w:val="0"/>
          <w:szCs w:val="21"/>
          <w:lang w:val="zh-CN"/>
        </w:rPr>
        <w:t>磋商保证金</w:t>
      </w:r>
      <w:bookmarkEnd w:id="139"/>
      <w:bookmarkEnd w:id="140"/>
      <w:bookmarkEnd w:id="141"/>
      <w:bookmarkEnd w:id="142"/>
      <w:bookmarkEnd w:id="143"/>
    </w:p>
    <w:p w14:paraId="57D23D2E">
      <w:pPr>
        <w:numPr>
          <w:ilvl w:val="1"/>
          <w:numId w:val="20"/>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bookmarkStart w:id="144" w:name="_Toc478050542"/>
      <w:bookmarkStart w:id="145" w:name="_Toc5668"/>
      <w:r>
        <w:rPr>
          <w:rFonts w:hint="eastAsia" w:ascii="仿宋" w:hAnsi="仿宋" w:eastAsia="仿宋" w:cs="宋体"/>
          <w:snapToGrid w:val="0"/>
          <w:color w:val="auto"/>
          <w:kern w:val="0"/>
          <w:szCs w:val="21"/>
          <w:lang w:val="zh-CN"/>
        </w:rPr>
        <w:t>本采购文件是否要求递交磋商保证金及保证金金额、递交方式、递交时间、</w:t>
      </w:r>
      <w:r>
        <w:rPr>
          <w:rFonts w:hint="eastAsia" w:ascii="仿宋" w:hAnsi="仿宋" w:eastAsia="仿宋" w:cs="宋体"/>
          <w:snapToGrid w:val="0"/>
          <w:color w:val="auto"/>
          <w:kern w:val="0"/>
          <w:szCs w:val="21"/>
          <w:lang w:val="en-US" w:eastAsia="zh-CN"/>
        </w:rPr>
        <w:t>接收</w:t>
      </w:r>
      <w:r>
        <w:rPr>
          <w:rFonts w:hint="eastAsia" w:ascii="仿宋" w:hAnsi="仿宋" w:eastAsia="仿宋" w:cs="宋体"/>
          <w:snapToGrid w:val="0"/>
          <w:color w:val="auto"/>
          <w:kern w:val="0"/>
          <w:szCs w:val="21"/>
          <w:lang w:val="zh-CN"/>
        </w:rPr>
        <w:t>保证金的</w:t>
      </w:r>
      <w:r>
        <w:rPr>
          <w:rFonts w:hint="eastAsia" w:ascii="仿宋" w:hAnsi="仿宋" w:eastAsia="仿宋" w:cs="宋体"/>
          <w:snapToGrid w:val="0"/>
          <w:color w:val="auto"/>
          <w:kern w:val="0"/>
          <w:szCs w:val="21"/>
          <w:lang w:val="en-US" w:eastAsia="zh-CN"/>
        </w:rPr>
        <w:t>账户</w:t>
      </w:r>
      <w:r>
        <w:rPr>
          <w:rFonts w:hint="eastAsia" w:ascii="仿宋" w:hAnsi="仿宋" w:eastAsia="仿宋" w:cs="宋体"/>
          <w:snapToGrid w:val="0"/>
          <w:color w:val="auto"/>
          <w:kern w:val="0"/>
          <w:szCs w:val="21"/>
          <w:lang w:val="zh-CN"/>
        </w:rPr>
        <w:t>信息等详见《供应商须知前附表》。</w:t>
      </w:r>
    </w:p>
    <w:p w14:paraId="477F029C">
      <w:pPr>
        <w:numPr>
          <w:ilvl w:val="1"/>
          <w:numId w:val="20"/>
        </w:numPr>
        <w:tabs>
          <w:tab w:val="clear" w:pos="60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本采购文件要求递交磋商保证金的，磋商保证金作为竞争性磋商响应文件的组成部分，</w:t>
      </w:r>
      <w:r>
        <w:rPr>
          <w:rFonts w:hint="eastAsia" w:ascii="仿宋" w:hAnsi="仿宋" w:eastAsia="仿宋" w:cs="宋体"/>
          <w:color w:val="auto"/>
          <w:szCs w:val="21"/>
          <w:lang w:val="zh-CN"/>
        </w:rPr>
        <w:t>以到账为准。</w:t>
      </w:r>
      <w:r>
        <w:rPr>
          <w:rFonts w:hint="eastAsia" w:ascii="仿宋" w:hAnsi="仿宋" w:eastAsia="仿宋" w:cs="宋体"/>
          <w:snapToGrid w:val="0"/>
          <w:color w:val="auto"/>
          <w:kern w:val="0"/>
          <w:szCs w:val="21"/>
          <w:lang w:val="zh-CN"/>
        </w:rPr>
        <w:t>凡未按规定递交磋商保证金的报价，其响应文件将被视为无效文件。</w:t>
      </w:r>
    </w:p>
    <w:p w14:paraId="6B06A505">
      <w:pPr>
        <w:numPr>
          <w:ilvl w:val="1"/>
          <w:numId w:val="20"/>
        </w:numPr>
        <w:tabs>
          <w:tab w:val="clear" w:pos="60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磋商保证金有效时间：磋商保证金的有效期与本次磋商有效期一致。</w:t>
      </w:r>
    </w:p>
    <w:p w14:paraId="698969CA">
      <w:pPr>
        <w:numPr>
          <w:ilvl w:val="1"/>
          <w:numId w:val="20"/>
        </w:numPr>
        <w:tabs>
          <w:tab w:val="clear" w:pos="60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color w:val="auto"/>
          <w:szCs w:val="21"/>
          <w:lang w:val="zh-CN"/>
        </w:rPr>
        <w:t>供应商为联合体的，应由联合体中牵头人交纳保证金，其交纳的保证金对联合体各方均具有约束力。</w:t>
      </w:r>
    </w:p>
    <w:p w14:paraId="1F3CE1DA">
      <w:pPr>
        <w:numPr>
          <w:ilvl w:val="1"/>
          <w:numId w:val="20"/>
        </w:numPr>
        <w:tabs>
          <w:tab w:val="clear" w:pos="60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保证金的退还：</w:t>
      </w:r>
      <w:r>
        <w:rPr>
          <w:rFonts w:hint="eastAsia" w:ascii="仿宋" w:hAnsi="仿宋" w:eastAsia="仿宋" w:cs="宋体"/>
          <w:color w:val="auto"/>
        </w:rPr>
        <w:t>供应商在提交响应文件时，应同时向本公司提交磋商保证金退还时的银行信息（收款人、账号、行号、开户银行）。因供应商自身原因导致保证金无法及时退还的，本公司不承担退款延期所产生的超期资金占用费。终止招标并已经收取磋商保证金的项目，我公司在终止公告发布后5个工作日内，退还所收取的磋商保证金及其在银行产生的利息。我公司在成交通知书发出之日起5个工作日内退还未成交供应商的磋商保证金，自采购合同签订之日起5个工作日内退还成交供应商的磋商保证金或者转为成交供应商的履约保证金，具体办理流程详见供应商须知前附表规定。</w:t>
      </w:r>
    </w:p>
    <w:p w14:paraId="22BA1F29">
      <w:pPr>
        <w:numPr>
          <w:ilvl w:val="1"/>
          <w:numId w:val="20"/>
        </w:numPr>
        <w:tabs>
          <w:tab w:val="clear" w:pos="60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有下列情形之一的，磋商保证金将不予退还:</w:t>
      </w:r>
    </w:p>
    <w:p w14:paraId="6CB366EC">
      <w:pPr>
        <w:numPr>
          <w:ilvl w:val="0"/>
          <w:numId w:val="21"/>
        </w:numPr>
        <w:tabs>
          <w:tab w:val="clear" w:pos="2040"/>
        </w:tabs>
        <w:autoSpaceDE w:val="0"/>
        <w:autoSpaceDN w:val="0"/>
        <w:adjustRightInd w:val="0"/>
        <w:spacing w:line="360" w:lineRule="auto"/>
        <w:ind w:left="537" w:leftChars="200" w:hanging="117" w:hangingChars="56"/>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供应商在提交响应文件截止时间后撤回响应文件的；</w:t>
      </w:r>
    </w:p>
    <w:p w14:paraId="45134007">
      <w:pPr>
        <w:numPr>
          <w:ilvl w:val="0"/>
          <w:numId w:val="21"/>
        </w:numPr>
        <w:tabs>
          <w:tab w:val="clear" w:pos="2040"/>
        </w:tabs>
        <w:autoSpaceDE w:val="0"/>
        <w:autoSpaceDN w:val="0"/>
        <w:adjustRightInd w:val="0"/>
        <w:spacing w:line="360" w:lineRule="auto"/>
        <w:ind w:left="537" w:leftChars="200" w:hanging="117" w:hangingChars="56"/>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供应商在响应文件中提供虚假材料的；</w:t>
      </w:r>
    </w:p>
    <w:p w14:paraId="750EE77C">
      <w:pPr>
        <w:numPr>
          <w:ilvl w:val="0"/>
          <w:numId w:val="21"/>
        </w:numPr>
        <w:tabs>
          <w:tab w:val="clear" w:pos="2040"/>
        </w:tabs>
        <w:autoSpaceDE w:val="0"/>
        <w:autoSpaceDN w:val="0"/>
        <w:adjustRightInd w:val="0"/>
        <w:spacing w:line="360" w:lineRule="auto"/>
        <w:ind w:left="537" w:leftChars="200" w:hanging="117" w:hangingChars="56"/>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除因不可抗力或磋商文件认可的情形以外，成交供应商不与采购人签订合同的；</w:t>
      </w:r>
    </w:p>
    <w:p w14:paraId="1FCE7C4C">
      <w:pPr>
        <w:numPr>
          <w:ilvl w:val="0"/>
          <w:numId w:val="21"/>
        </w:numPr>
        <w:tabs>
          <w:tab w:val="clear" w:pos="2040"/>
        </w:tabs>
        <w:autoSpaceDE w:val="0"/>
        <w:autoSpaceDN w:val="0"/>
        <w:adjustRightInd w:val="0"/>
        <w:spacing w:line="360" w:lineRule="auto"/>
        <w:ind w:left="537" w:leftChars="200" w:hanging="117" w:hangingChars="56"/>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供应商与采购人、其他供应商或者采购代理机构恶意串通的；</w:t>
      </w:r>
    </w:p>
    <w:p w14:paraId="640CD63A">
      <w:pPr>
        <w:numPr>
          <w:ilvl w:val="0"/>
          <w:numId w:val="21"/>
        </w:numPr>
        <w:tabs>
          <w:tab w:val="clear" w:pos="2040"/>
        </w:tabs>
        <w:autoSpaceDE w:val="0"/>
        <w:autoSpaceDN w:val="0"/>
        <w:adjustRightInd w:val="0"/>
        <w:spacing w:line="360" w:lineRule="auto"/>
        <w:ind w:left="537" w:leftChars="200" w:hanging="117" w:hangingChars="56"/>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将成交项目转让给他人，或者在响应文件中未说明，且未经采购人同意，将成交项目分包给他人的；</w:t>
      </w:r>
    </w:p>
    <w:p w14:paraId="4B853D79">
      <w:pPr>
        <w:numPr>
          <w:ilvl w:val="0"/>
          <w:numId w:val="21"/>
        </w:numPr>
        <w:tabs>
          <w:tab w:val="clear" w:pos="2040"/>
        </w:tabs>
        <w:autoSpaceDE w:val="0"/>
        <w:autoSpaceDN w:val="0"/>
        <w:adjustRightInd w:val="0"/>
        <w:spacing w:line="360" w:lineRule="auto"/>
        <w:ind w:left="537" w:leftChars="200" w:hanging="117" w:hangingChars="56"/>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本采购文件规定的其他情形。</w:t>
      </w:r>
    </w:p>
    <w:p w14:paraId="575FD2C4">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46" w:name="_Toc149035932"/>
      <w:bookmarkStart w:id="147" w:name="_Toc21617"/>
      <w:bookmarkStart w:id="148" w:name="_Toc31719"/>
      <w:r>
        <w:rPr>
          <w:rFonts w:hint="eastAsia" w:ascii="仿宋" w:hAnsi="仿宋" w:eastAsia="仿宋" w:cs="宋体"/>
          <w:b/>
          <w:snapToGrid w:val="0"/>
          <w:color w:val="auto"/>
          <w:kern w:val="0"/>
          <w:szCs w:val="21"/>
          <w:lang w:val="zh-CN"/>
        </w:rPr>
        <w:t>磋商有效期</w:t>
      </w:r>
      <w:bookmarkEnd w:id="144"/>
      <w:bookmarkEnd w:id="145"/>
      <w:bookmarkEnd w:id="146"/>
      <w:bookmarkEnd w:id="147"/>
      <w:bookmarkEnd w:id="148"/>
    </w:p>
    <w:p w14:paraId="3082E59A">
      <w:pPr>
        <w:numPr>
          <w:ilvl w:val="1"/>
          <w:numId w:val="22"/>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磋商有效期从磋商结束之日起计算，本次采购磋商有效期见《供应商须知前附表》，磋商供应商承诺的磋商有效期不足的，其响应文件将被视为无效文件。</w:t>
      </w:r>
    </w:p>
    <w:p w14:paraId="1AF058CD">
      <w:pPr>
        <w:numPr>
          <w:ilvl w:val="1"/>
          <w:numId w:val="22"/>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特殊情况下，在原磋商有效期截止之前，采购代理机构或采购人可要求供应商延长磋商有效期。需要延长磋商有效期时，采购代理机构或采购人将以书面形式通知所有磋商供应商，供应商应以书面形式答复是否同意延长磋商有效期。供应商同意延长的，其磋商保证金有效期相应延长，但不得要求或被允许修改或撤销其响应文件；供应商拒绝延长的，其响应文件在原磋商有效期满后将不再有效，供应商有权收回其磋商保证金。</w:t>
      </w:r>
    </w:p>
    <w:p w14:paraId="6F19156C">
      <w:pPr>
        <w:numPr>
          <w:ilvl w:val="1"/>
          <w:numId w:val="22"/>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供应商同意延长磋商有效期的，不得要求或被允许修改或撤销其竞争性磋商响应文件；供应商拒绝延长的，其响应文件失效，但供应商有权收回其磋商保证金。</w:t>
      </w:r>
    </w:p>
    <w:p w14:paraId="3FC5DBA4">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49" w:name="_Toc478050543"/>
      <w:bookmarkStart w:id="150" w:name="_Toc11060"/>
      <w:bookmarkStart w:id="151" w:name="_Toc8272"/>
      <w:bookmarkStart w:id="152" w:name="_Toc10018"/>
      <w:bookmarkStart w:id="153" w:name="_Toc149035933"/>
      <w:r>
        <w:rPr>
          <w:rFonts w:hint="eastAsia" w:ascii="仿宋" w:hAnsi="仿宋" w:eastAsia="仿宋" w:cs="宋体"/>
          <w:b/>
          <w:snapToGrid w:val="0"/>
          <w:color w:val="auto"/>
          <w:kern w:val="0"/>
          <w:szCs w:val="21"/>
          <w:lang w:val="zh-CN"/>
        </w:rPr>
        <w:t>竞争性磋商响应文件的装订、签署和数量</w:t>
      </w:r>
      <w:bookmarkEnd w:id="149"/>
      <w:bookmarkEnd w:id="150"/>
      <w:bookmarkEnd w:id="151"/>
      <w:bookmarkEnd w:id="152"/>
      <w:bookmarkEnd w:id="153"/>
    </w:p>
    <w:p w14:paraId="79388494">
      <w:pPr>
        <w:numPr>
          <w:ilvl w:val="1"/>
          <w:numId w:val="23"/>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供应商提交的响应文件应包括正本、副本、完整的电子文档及单独提供的法定代表人授权委托书（或</w:t>
      </w:r>
      <w:r>
        <w:rPr>
          <w:rFonts w:hint="eastAsia" w:ascii="仿宋" w:hAnsi="仿宋" w:eastAsia="仿宋" w:cs="宋体"/>
          <w:color w:val="auto"/>
          <w:szCs w:val="21"/>
        </w:rPr>
        <w:t>法定代表人身份证明书）</w:t>
      </w:r>
      <w:r>
        <w:rPr>
          <w:rFonts w:hint="eastAsia" w:ascii="仿宋" w:hAnsi="仿宋" w:eastAsia="仿宋" w:cs="宋体"/>
          <w:snapToGrid w:val="0"/>
          <w:color w:val="auto"/>
          <w:kern w:val="0"/>
          <w:szCs w:val="21"/>
          <w:lang w:val="zh-CN"/>
        </w:rPr>
        <w:t>、报价一览表、优惠声明（如有）。本次磋商供应商提交响应文件正、副本和电子文档的数量见《供应商须知前附表》。</w:t>
      </w:r>
    </w:p>
    <w:p w14:paraId="03DF191E">
      <w:pPr>
        <w:autoSpaceDE w:val="0"/>
        <w:autoSpaceDN w:val="0"/>
        <w:adjustRightInd w:val="0"/>
        <w:spacing w:line="360" w:lineRule="auto"/>
        <w:ind w:left="540" w:leftChars="257" w:firstLine="420" w:firstLineChars="20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每套响应文件须清楚地标明“正本”、“副本”，响应文件的副本可采用正本的复印件，若副本与正本不符，以正本为准；如单独提供的法定代表人授权委托书（或</w:t>
      </w:r>
      <w:r>
        <w:rPr>
          <w:rFonts w:hint="eastAsia" w:ascii="仿宋" w:hAnsi="仿宋" w:eastAsia="仿宋" w:cs="宋体"/>
          <w:color w:val="auto"/>
          <w:szCs w:val="21"/>
        </w:rPr>
        <w:t>法定代表人身份证明书）</w:t>
      </w:r>
      <w:r>
        <w:rPr>
          <w:rFonts w:hint="eastAsia" w:ascii="仿宋" w:hAnsi="仿宋" w:eastAsia="仿宋" w:cs="宋体"/>
          <w:snapToGrid w:val="0"/>
          <w:color w:val="auto"/>
          <w:kern w:val="0"/>
          <w:szCs w:val="21"/>
          <w:lang w:val="zh-CN"/>
        </w:rPr>
        <w:t>、报价一览表、优惠声明（如有）与响应文件正本不符，以正本为准。电子文档与纸质文件不符，以纸质文件为准。</w:t>
      </w:r>
    </w:p>
    <w:p w14:paraId="0A6B4D22">
      <w:pPr>
        <w:numPr>
          <w:ilvl w:val="1"/>
          <w:numId w:val="23"/>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正本需打印或用不褪色墨水书写，并由法定代表人或授权代表签字并加盖公章。由授权代表签字的，响应文件中应提交《法定代表人授权书》。供应商为自然人的，由供应商本人签字并附身份证明。</w:t>
      </w:r>
    </w:p>
    <w:p w14:paraId="4BF51CC5">
      <w:pPr>
        <w:numPr>
          <w:ilvl w:val="1"/>
          <w:numId w:val="23"/>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竞争性磋商响应文件中的任何行间插字、涂改和增删，必须由法定代表人或授权代表在旁边签字才有效。</w:t>
      </w:r>
    </w:p>
    <w:p w14:paraId="2556686A">
      <w:pPr>
        <w:numPr>
          <w:ilvl w:val="1"/>
          <w:numId w:val="23"/>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响应文件应当采用不可拆卸的方法装订，对未经装订的竞争性磋商响应文件可能发生的文件散落或缺损及由此产生的后果由磋商供应商承担。</w:t>
      </w:r>
    </w:p>
    <w:p w14:paraId="2C035257">
      <w:pPr>
        <w:numPr>
          <w:ilvl w:val="1"/>
          <w:numId w:val="2"/>
        </w:numPr>
        <w:tabs>
          <w:tab w:val="clear" w:pos="840"/>
        </w:tabs>
        <w:spacing w:line="360" w:lineRule="auto"/>
        <w:ind w:left="540" w:hanging="540"/>
        <w:outlineLvl w:val="1"/>
        <w:rPr>
          <w:rFonts w:ascii="仿宋" w:hAnsi="仿宋" w:eastAsia="仿宋" w:cs="宋体"/>
          <w:b/>
          <w:color w:val="auto"/>
          <w:szCs w:val="21"/>
        </w:rPr>
      </w:pPr>
      <w:bookmarkStart w:id="154" w:name="_Toc478050544"/>
      <w:bookmarkStart w:id="155" w:name="_Toc149035934"/>
      <w:bookmarkStart w:id="156" w:name="_Toc4461"/>
      <w:bookmarkStart w:id="157" w:name="_Toc31986"/>
      <w:r>
        <w:rPr>
          <w:rFonts w:hint="eastAsia" w:ascii="仿宋" w:hAnsi="仿宋" w:eastAsia="仿宋" w:cs="宋体"/>
          <w:b/>
          <w:color w:val="auto"/>
          <w:szCs w:val="21"/>
        </w:rPr>
        <w:t>竞争性磋商响应文件的递交</w:t>
      </w:r>
      <w:bookmarkEnd w:id="154"/>
      <w:bookmarkEnd w:id="155"/>
      <w:bookmarkEnd w:id="156"/>
      <w:bookmarkEnd w:id="157"/>
    </w:p>
    <w:p w14:paraId="4B940071">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58" w:name="_Toc27305"/>
      <w:bookmarkStart w:id="159" w:name="_Toc22404"/>
      <w:bookmarkStart w:id="160" w:name="_Toc149035935"/>
      <w:bookmarkStart w:id="161" w:name="_Toc2903"/>
      <w:bookmarkStart w:id="162" w:name="_Toc478050545"/>
      <w:r>
        <w:rPr>
          <w:rFonts w:hint="eastAsia" w:ascii="仿宋" w:hAnsi="仿宋" w:eastAsia="仿宋" w:cs="宋体"/>
          <w:b/>
          <w:color w:val="auto"/>
          <w:szCs w:val="21"/>
        </w:rPr>
        <w:t>竞争性磋商响应文件</w:t>
      </w:r>
      <w:r>
        <w:rPr>
          <w:rFonts w:hint="eastAsia" w:ascii="仿宋" w:hAnsi="仿宋" w:eastAsia="仿宋" w:cs="宋体"/>
          <w:b/>
          <w:snapToGrid w:val="0"/>
          <w:color w:val="auto"/>
          <w:kern w:val="0"/>
          <w:szCs w:val="21"/>
          <w:lang w:val="zh-CN"/>
        </w:rPr>
        <w:t>的密封和标记</w:t>
      </w:r>
      <w:bookmarkEnd w:id="158"/>
      <w:bookmarkEnd w:id="159"/>
      <w:bookmarkEnd w:id="160"/>
      <w:bookmarkEnd w:id="161"/>
      <w:bookmarkEnd w:id="162"/>
    </w:p>
    <w:p w14:paraId="4625EF29">
      <w:pPr>
        <w:numPr>
          <w:ilvl w:val="1"/>
          <w:numId w:val="2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响应文件的正本、所有副本必须密封</w:t>
      </w:r>
      <w:r>
        <w:rPr>
          <w:rFonts w:hint="eastAsia" w:ascii="仿宋" w:hAnsi="仿宋" w:eastAsia="仿宋" w:cs="宋体"/>
          <w:snapToGrid w:val="0"/>
          <w:color w:val="auto"/>
          <w:kern w:val="0"/>
          <w:szCs w:val="21"/>
        </w:rPr>
        <w:t>和</w:t>
      </w:r>
      <w:r>
        <w:rPr>
          <w:rFonts w:hint="eastAsia" w:ascii="仿宋" w:hAnsi="仿宋" w:eastAsia="仿宋" w:cs="宋体"/>
          <w:snapToGrid w:val="0"/>
          <w:color w:val="auto"/>
          <w:kern w:val="0"/>
          <w:szCs w:val="21"/>
          <w:lang w:val="zh-CN"/>
        </w:rPr>
        <w:t>加盖供应商公章</w:t>
      </w:r>
      <w:r>
        <w:rPr>
          <w:rFonts w:hint="eastAsia" w:ascii="仿宋" w:hAnsi="仿宋" w:eastAsia="仿宋" w:cs="宋体"/>
          <w:snapToGrid w:val="0"/>
          <w:color w:val="auto"/>
          <w:kern w:val="0"/>
          <w:szCs w:val="21"/>
        </w:rPr>
        <w:t>后</w:t>
      </w:r>
      <w:r>
        <w:rPr>
          <w:rFonts w:hint="eastAsia" w:ascii="仿宋" w:hAnsi="仿宋" w:eastAsia="仿宋" w:cs="宋体"/>
          <w:snapToGrid w:val="0"/>
          <w:color w:val="auto"/>
          <w:kern w:val="0"/>
          <w:szCs w:val="21"/>
          <w:lang w:val="zh-CN"/>
        </w:rPr>
        <w:t>递交，包装上应注明项目编号、项目名称、包号、供应商名称及“</w:t>
      </w:r>
      <w:r>
        <w:rPr>
          <w:rFonts w:hint="eastAsia" w:ascii="仿宋" w:hAnsi="仿宋" w:eastAsia="仿宋" w:cs="宋体"/>
          <w:snapToGrid w:val="0"/>
          <w:color w:val="auto"/>
          <w:kern w:val="0"/>
          <w:szCs w:val="21"/>
          <w:u w:val="single"/>
          <w:lang w:val="zh-CN"/>
        </w:rPr>
        <w:t xml:space="preserve">  （磋商时间）  前</w:t>
      </w:r>
      <w:r>
        <w:rPr>
          <w:rFonts w:hint="eastAsia" w:ascii="仿宋" w:hAnsi="仿宋" w:eastAsia="仿宋" w:cs="宋体"/>
          <w:snapToGrid w:val="0"/>
          <w:color w:val="auto"/>
          <w:kern w:val="0"/>
          <w:szCs w:val="21"/>
          <w:lang w:val="zh-CN"/>
        </w:rPr>
        <w:t>不得启封”的字样。</w:t>
      </w:r>
    </w:p>
    <w:p w14:paraId="54E8D983">
      <w:pPr>
        <w:numPr>
          <w:ilvl w:val="1"/>
          <w:numId w:val="24"/>
        </w:numPr>
        <w:tabs>
          <w:tab w:val="clear" w:pos="465"/>
        </w:tabs>
        <w:autoSpaceDE w:val="0"/>
        <w:autoSpaceDN w:val="0"/>
        <w:adjustRightInd w:val="0"/>
        <w:spacing w:line="360" w:lineRule="auto"/>
        <w:ind w:left="540" w:hanging="540"/>
        <w:jc w:val="left"/>
        <w:rPr>
          <w:rFonts w:ascii="仿宋" w:hAnsi="仿宋" w:eastAsia="仿宋" w:cs="宋体"/>
          <w:b/>
          <w:snapToGrid w:val="0"/>
          <w:color w:val="auto"/>
          <w:kern w:val="0"/>
          <w:szCs w:val="21"/>
          <w:lang w:val="zh-CN"/>
        </w:rPr>
      </w:pPr>
      <w:r>
        <w:rPr>
          <w:rFonts w:hint="eastAsia" w:ascii="仿宋" w:hAnsi="仿宋" w:eastAsia="仿宋" w:cs="宋体"/>
          <w:b/>
          <w:snapToGrid w:val="0"/>
          <w:color w:val="auto"/>
          <w:kern w:val="0"/>
          <w:szCs w:val="21"/>
          <w:lang w:val="zh-CN"/>
        </w:rPr>
        <w:t>为方便磋商记录，供应商还应将一份《报价一览表》（原件）与一份</w:t>
      </w:r>
      <w:r>
        <w:rPr>
          <w:rFonts w:hint="eastAsia" w:ascii="仿宋" w:hAnsi="仿宋" w:eastAsia="仿宋" w:cs="宋体"/>
          <w:b/>
          <w:color w:val="auto"/>
          <w:szCs w:val="21"/>
        </w:rPr>
        <w:t>磋商书（原件）、</w:t>
      </w:r>
      <w:r>
        <w:rPr>
          <w:rFonts w:hint="eastAsia" w:ascii="仿宋" w:hAnsi="仿宋" w:eastAsia="仿宋" w:cs="宋体"/>
          <w:b/>
          <w:snapToGrid w:val="0"/>
          <w:color w:val="auto"/>
          <w:kern w:val="0"/>
          <w:szCs w:val="21"/>
          <w:lang w:val="zh-CN"/>
        </w:rPr>
        <w:t>《法定代表人授权书》（原件）、磋商保证金缴纳证明（复印件）及报价优惠声明（如果有的话）单独密封提交，除需按上款要求注明外还应在信封上标明“报价一览表”字样。</w:t>
      </w:r>
    </w:p>
    <w:p w14:paraId="32065D3E">
      <w:pPr>
        <w:numPr>
          <w:ilvl w:val="1"/>
          <w:numId w:val="2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未按要求密封和加写标记的响应文件为无效文件，采购人、采购代理机构将拒收。</w:t>
      </w:r>
    </w:p>
    <w:p w14:paraId="4968FFB9">
      <w:pPr>
        <w:numPr>
          <w:ilvl w:val="1"/>
          <w:numId w:val="24"/>
        </w:numPr>
        <w:tabs>
          <w:tab w:val="clear" w:pos="465"/>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要求在磋商时提交样品的，应在样品上标明磋商供应商名称。有关提交及退还样品的相关规定见《供应商须知前附表》。</w:t>
      </w:r>
    </w:p>
    <w:p w14:paraId="1FF5A48C">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63" w:name="_Toc149035936"/>
      <w:bookmarkStart w:id="164" w:name="_Toc23433"/>
      <w:bookmarkStart w:id="165" w:name="_Toc17857"/>
      <w:bookmarkStart w:id="166" w:name="_Toc1083"/>
      <w:bookmarkStart w:id="167" w:name="_Toc478050546"/>
      <w:r>
        <w:rPr>
          <w:rFonts w:hint="eastAsia" w:ascii="仿宋" w:hAnsi="仿宋" w:eastAsia="仿宋" w:cs="宋体"/>
          <w:b/>
          <w:snapToGrid w:val="0"/>
          <w:color w:val="auto"/>
          <w:kern w:val="0"/>
          <w:szCs w:val="21"/>
          <w:lang w:val="zh-CN"/>
        </w:rPr>
        <w:t>竞争性磋商响应文件的送达地点及截止时间</w:t>
      </w:r>
      <w:bookmarkEnd w:id="163"/>
      <w:bookmarkEnd w:id="164"/>
      <w:bookmarkEnd w:id="165"/>
      <w:bookmarkEnd w:id="166"/>
      <w:bookmarkEnd w:id="167"/>
    </w:p>
    <w:p w14:paraId="25ED0699">
      <w:pPr>
        <w:autoSpaceDE w:val="0"/>
        <w:autoSpaceDN w:val="0"/>
        <w:adjustRightInd w:val="0"/>
        <w:spacing w:line="360" w:lineRule="auto"/>
        <w:jc w:val="left"/>
        <w:rPr>
          <w:rFonts w:ascii="仿宋" w:hAnsi="仿宋" w:eastAsia="仿宋" w:cs="宋体"/>
          <w:b/>
          <w:snapToGrid w:val="0"/>
          <w:color w:val="auto"/>
          <w:kern w:val="0"/>
          <w:szCs w:val="21"/>
          <w:lang w:val="zh-CN"/>
        </w:rPr>
      </w:pPr>
      <w:r>
        <w:rPr>
          <w:rFonts w:hint="eastAsia" w:ascii="仿宋" w:hAnsi="仿宋" w:eastAsia="仿宋" w:cs="宋体"/>
          <w:b/>
          <w:snapToGrid w:val="0"/>
          <w:color w:val="auto"/>
          <w:kern w:val="0"/>
          <w:szCs w:val="21"/>
          <w:lang w:val="zh-CN"/>
        </w:rPr>
        <w:t>20.1</w:t>
      </w:r>
      <w:r>
        <w:rPr>
          <w:rFonts w:hint="eastAsia" w:ascii="仿宋" w:hAnsi="仿宋" w:eastAsia="仿宋" w:cs="宋体"/>
          <w:snapToGrid w:val="0"/>
          <w:color w:val="auto"/>
          <w:kern w:val="0"/>
          <w:szCs w:val="21"/>
          <w:lang w:val="zh-CN"/>
        </w:rPr>
        <w:t>截止时间是</w:t>
      </w:r>
      <w:r>
        <w:rPr>
          <w:rFonts w:hint="eastAsia" w:ascii="仿宋" w:hAnsi="仿宋" w:eastAsia="仿宋" w:cs="宋体"/>
          <w:b/>
          <w:snapToGrid w:val="0"/>
          <w:color w:val="auto"/>
          <w:kern w:val="0"/>
          <w:szCs w:val="21"/>
          <w:lang w:val="zh-CN"/>
        </w:rPr>
        <w:t>竞争性磋商文件</w:t>
      </w:r>
      <w:r>
        <w:rPr>
          <w:rFonts w:hint="eastAsia" w:ascii="仿宋" w:hAnsi="仿宋" w:eastAsia="仿宋" w:cs="宋体"/>
          <w:snapToGrid w:val="0"/>
          <w:color w:val="auto"/>
          <w:kern w:val="0"/>
          <w:szCs w:val="21"/>
          <w:lang w:val="zh-CN"/>
        </w:rPr>
        <w:t>中规定的首次送达、提交响应文件的最后时间。本次磋商响应文件的送达地点及截止时间见《供应商须知前附表》。</w:t>
      </w:r>
    </w:p>
    <w:p w14:paraId="5AC34EFD">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68" w:name="_Toc24709"/>
      <w:bookmarkStart w:id="169" w:name="_Toc478050547"/>
      <w:bookmarkStart w:id="170" w:name="_Toc149035937"/>
      <w:bookmarkStart w:id="171" w:name="_Toc31376"/>
      <w:bookmarkStart w:id="172" w:name="_Toc23823"/>
      <w:r>
        <w:rPr>
          <w:rFonts w:hint="eastAsia" w:ascii="仿宋" w:hAnsi="仿宋" w:eastAsia="仿宋" w:cs="宋体"/>
          <w:b/>
          <w:snapToGrid w:val="0"/>
          <w:color w:val="auto"/>
          <w:kern w:val="0"/>
          <w:szCs w:val="21"/>
          <w:lang w:val="zh-CN"/>
        </w:rPr>
        <w:t>迟交的竞争性磋商响应文件</w:t>
      </w:r>
      <w:bookmarkEnd w:id="168"/>
      <w:bookmarkEnd w:id="169"/>
      <w:bookmarkEnd w:id="170"/>
      <w:bookmarkEnd w:id="171"/>
      <w:bookmarkEnd w:id="172"/>
    </w:p>
    <w:p w14:paraId="2B2C2A48">
      <w:pPr>
        <w:numPr>
          <w:ilvl w:val="1"/>
          <w:numId w:val="25"/>
        </w:numPr>
        <w:tabs>
          <w:tab w:val="clear" w:pos="48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在本次磋商递交响应文件的截止时间以后送达的响应文件，不论何种原因，采购代理机构将拒收。</w:t>
      </w:r>
    </w:p>
    <w:p w14:paraId="7BB53E9A">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73" w:name="_Toc149035938"/>
      <w:bookmarkStart w:id="174" w:name="_Toc31760"/>
      <w:bookmarkStart w:id="175" w:name="_Toc7474"/>
      <w:bookmarkStart w:id="176" w:name="_Toc478050548"/>
      <w:bookmarkStart w:id="177" w:name="_Toc15985"/>
      <w:r>
        <w:rPr>
          <w:rFonts w:hint="eastAsia" w:ascii="仿宋" w:hAnsi="仿宋" w:eastAsia="仿宋" w:cs="宋体"/>
          <w:b/>
          <w:snapToGrid w:val="0"/>
          <w:color w:val="auto"/>
          <w:kern w:val="0"/>
          <w:szCs w:val="21"/>
          <w:lang w:val="zh-CN"/>
        </w:rPr>
        <w:t>竞争性磋商响应文件的补充、修改或者撤回</w:t>
      </w:r>
      <w:bookmarkEnd w:id="173"/>
      <w:bookmarkEnd w:id="174"/>
      <w:bookmarkEnd w:id="175"/>
      <w:bookmarkEnd w:id="176"/>
      <w:bookmarkEnd w:id="177"/>
    </w:p>
    <w:p w14:paraId="05D59672">
      <w:pPr>
        <w:numPr>
          <w:ilvl w:val="1"/>
          <w:numId w:val="26"/>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在</w:t>
      </w:r>
      <w:r>
        <w:rPr>
          <w:rFonts w:hint="eastAsia" w:ascii="仿宋" w:hAnsi="仿宋" w:eastAsia="仿宋" w:cs="宋体"/>
          <w:snapToGrid w:val="0"/>
          <w:color w:val="auto"/>
          <w:kern w:val="0"/>
          <w:szCs w:val="21"/>
        </w:rPr>
        <w:t>提交</w:t>
      </w:r>
      <w:r>
        <w:rPr>
          <w:rFonts w:hint="eastAsia" w:ascii="仿宋" w:hAnsi="仿宋" w:eastAsia="仿宋" w:cs="宋体"/>
          <w:snapToGrid w:val="0"/>
          <w:color w:val="auto"/>
          <w:kern w:val="0"/>
          <w:szCs w:val="21"/>
          <w:lang w:val="zh-CN"/>
        </w:rPr>
        <w:t>响应文件截止时间前，供应商可以对</w:t>
      </w:r>
      <w:r>
        <w:rPr>
          <w:rFonts w:hint="eastAsia" w:ascii="仿宋" w:hAnsi="仿宋" w:eastAsia="仿宋" w:cs="宋体"/>
          <w:snapToGrid w:val="0"/>
          <w:color w:val="auto"/>
          <w:kern w:val="0"/>
          <w:szCs w:val="21"/>
        </w:rPr>
        <w:t>已</w:t>
      </w:r>
      <w:r>
        <w:rPr>
          <w:rFonts w:hint="eastAsia" w:ascii="仿宋" w:hAnsi="仿宋" w:eastAsia="仿宋" w:cs="宋体"/>
          <w:snapToGrid w:val="0"/>
          <w:color w:val="auto"/>
          <w:kern w:val="0"/>
          <w:szCs w:val="21"/>
          <w:lang w:val="zh-CN"/>
        </w:rPr>
        <w:t>提交的响应文件进行补充、修改或者撤回。供应商需要补充、修改或者撤回响应文件时，应以书面形式通知采购人、采购代理机构。补充、修改的内容是响应文件的组成部分，补充、修改的内容与响应文件不一致的，以补充、修改的内容为准。</w:t>
      </w:r>
    </w:p>
    <w:p w14:paraId="41D28F84">
      <w:pPr>
        <w:numPr>
          <w:ilvl w:val="1"/>
          <w:numId w:val="26"/>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从</w:t>
      </w:r>
      <w:r>
        <w:rPr>
          <w:rFonts w:hint="eastAsia" w:ascii="仿宋" w:hAnsi="仿宋" w:eastAsia="仿宋" w:cs="宋体"/>
          <w:snapToGrid w:val="0"/>
          <w:color w:val="auto"/>
          <w:kern w:val="0"/>
          <w:szCs w:val="21"/>
        </w:rPr>
        <w:t>提交</w:t>
      </w:r>
      <w:r>
        <w:rPr>
          <w:rFonts w:hint="eastAsia" w:ascii="仿宋" w:hAnsi="仿宋" w:eastAsia="仿宋" w:cs="宋体"/>
          <w:snapToGrid w:val="0"/>
          <w:color w:val="auto"/>
          <w:kern w:val="0"/>
          <w:szCs w:val="21"/>
          <w:lang w:val="zh-CN"/>
        </w:rPr>
        <w:t>响应文件截止时间至磋商有效期期满这段时间，供应商不得修改或</w:t>
      </w:r>
      <w:r>
        <w:rPr>
          <w:rFonts w:hint="eastAsia" w:ascii="仿宋" w:hAnsi="仿宋" w:eastAsia="仿宋" w:cs="宋体"/>
          <w:snapToGrid w:val="0"/>
          <w:color w:val="auto"/>
          <w:kern w:val="0"/>
          <w:szCs w:val="21"/>
        </w:rPr>
        <w:t>撤销</w:t>
      </w:r>
      <w:r>
        <w:rPr>
          <w:rFonts w:hint="eastAsia" w:ascii="仿宋" w:hAnsi="仿宋" w:eastAsia="仿宋" w:cs="宋体"/>
          <w:snapToGrid w:val="0"/>
          <w:color w:val="auto"/>
          <w:kern w:val="0"/>
          <w:szCs w:val="21"/>
          <w:lang w:val="zh-CN"/>
        </w:rPr>
        <w:t>其响应文件，否则其磋商保证金将不予以退还。</w:t>
      </w:r>
    </w:p>
    <w:p w14:paraId="05583AC5">
      <w:pPr>
        <w:numPr>
          <w:ilvl w:val="1"/>
          <w:numId w:val="26"/>
        </w:numPr>
        <w:tabs>
          <w:tab w:val="left" w:pos="540"/>
        </w:tabs>
        <w:autoSpaceDE w:val="0"/>
        <w:autoSpaceDN w:val="0"/>
        <w:adjustRightInd w:val="0"/>
        <w:spacing w:line="360" w:lineRule="auto"/>
        <w:ind w:left="540" w:hanging="54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供应商所提交的响应文件在磋商结束后，无论成交与否都不退还。</w:t>
      </w:r>
    </w:p>
    <w:p w14:paraId="4118976D">
      <w:pPr>
        <w:numPr>
          <w:ilvl w:val="1"/>
          <w:numId w:val="2"/>
        </w:numPr>
        <w:tabs>
          <w:tab w:val="clear" w:pos="840"/>
        </w:tabs>
        <w:spacing w:line="360" w:lineRule="auto"/>
        <w:ind w:left="540" w:hanging="540"/>
        <w:outlineLvl w:val="1"/>
        <w:rPr>
          <w:rFonts w:ascii="仿宋" w:hAnsi="仿宋" w:eastAsia="仿宋" w:cs="宋体"/>
          <w:b/>
          <w:color w:val="auto"/>
          <w:szCs w:val="21"/>
        </w:rPr>
      </w:pPr>
      <w:bookmarkStart w:id="178" w:name="_Toc31838"/>
      <w:bookmarkStart w:id="179" w:name="_Toc149035939"/>
      <w:bookmarkStart w:id="180" w:name="_Toc478050549"/>
      <w:bookmarkStart w:id="181" w:name="_Toc16186"/>
      <w:r>
        <w:rPr>
          <w:rFonts w:hint="eastAsia" w:ascii="仿宋" w:hAnsi="仿宋" w:eastAsia="仿宋" w:cs="宋体"/>
          <w:b/>
          <w:color w:val="auto"/>
          <w:szCs w:val="21"/>
        </w:rPr>
        <w:t>磋商程序及步骤</w:t>
      </w:r>
      <w:bookmarkEnd w:id="178"/>
      <w:bookmarkEnd w:id="179"/>
      <w:bookmarkEnd w:id="180"/>
      <w:bookmarkEnd w:id="181"/>
    </w:p>
    <w:p w14:paraId="6F68BF41">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82" w:name="_Toc8332"/>
      <w:bookmarkStart w:id="183" w:name="_Toc478050550"/>
      <w:bookmarkStart w:id="184" w:name="_Toc10986"/>
      <w:bookmarkStart w:id="185" w:name="_Toc149035940"/>
      <w:bookmarkStart w:id="186" w:name="_Toc22624"/>
      <w:r>
        <w:rPr>
          <w:rFonts w:hint="eastAsia" w:ascii="仿宋" w:hAnsi="仿宋" w:eastAsia="仿宋" w:cs="宋体"/>
          <w:b/>
          <w:color w:val="auto"/>
        </w:rPr>
        <w:t>竞争性磋商小组</w:t>
      </w:r>
      <w:bookmarkEnd w:id="182"/>
      <w:bookmarkEnd w:id="183"/>
      <w:bookmarkEnd w:id="184"/>
      <w:bookmarkEnd w:id="185"/>
      <w:bookmarkEnd w:id="186"/>
    </w:p>
    <w:p w14:paraId="473F9D3F">
      <w:pPr>
        <w:tabs>
          <w:tab w:val="left" w:pos="540"/>
        </w:tabs>
        <w:spacing w:line="360" w:lineRule="auto"/>
        <w:rPr>
          <w:rFonts w:ascii="仿宋" w:hAnsi="仿宋" w:eastAsia="仿宋" w:cs="宋体"/>
          <w:color w:val="auto"/>
        </w:rPr>
      </w:pPr>
      <w:r>
        <w:rPr>
          <w:rFonts w:hint="eastAsia" w:ascii="仿宋" w:hAnsi="仿宋" w:eastAsia="仿宋" w:cs="宋体"/>
          <w:bCs/>
          <w:color w:val="auto"/>
          <w:szCs w:val="21"/>
        </w:rPr>
        <w:t>23.1 采购人参照</w:t>
      </w:r>
      <w:r>
        <w:rPr>
          <w:rFonts w:hint="eastAsia" w:ascii="仿宋" w:hAnsi="仿宋" w:eastAsia="仿宋" w:cs="宋体"/>
          <w:b/>
          <w:color w:val="auto"/>
        </w:rPr>
        <w:t>《中华人民共和国政府采购法》、《中华人民共和国政府采购法实施条例》、《政府采购竞争性磋商采购方式管理暂行办法》及现行法律规定</w:t>
      </w:r>
      <w:r>
        <w:rPr>
          <w:rFonts w:hint="eastAsia" w:ascii="仿宋" w:hAnsi="仿宋" w:eastAsia="仿宋" w:cs="宋体"/>
          <w:color w:val="auto"/>
        </w:rPr>
        <w:t>组建磋商小组</w:t>
      </w:r>
      <w:r>
        <w:rPr>
          <w:rFonts w:hint="eastAsia" w:ascii="仿宋" w:hAnsi="仿宋" w:eastAsia="仿宋" w:cs="宋体"/>
          <w:color w:val="auto"/>
          <w:szCs w:val="21"/>
        </w:rPr>
        <w:t>，</w:t>
      </w:r>
      <w:r>
        <w:rPr>
          <w:rFonts w:hint="eastAsia" w:ascii="仿宋" w:hAnsi="仿宋" w:eastAsia="仿宋" w:cs="宋体"/>
          <w:color w:val="auto"/>
        </w:rPr>
        <w:t>磋商小组由采购人代表和评审专家共3人或5人以上单数组成</w:t>
      </w:r>
      <w:r>
        <w:rPr>
          <w:rFonts w:hint="eastAsia" w:ascii="仿宋" w:hAnsi="仿宋" w:eastAsia="仿宋" w:cs="宋体"/>
          <w:color w:val="auto"/>
          <w:szCs w:val="21"/>
        </w:rPr>
        <w:t>。</w:t>
      </w:r>
      <w:r>
        <w:rPr>
          <w:rFonts w:hint="eastAsia" w:ascii="仿宋" w:hAnsi="仿宋" w:eastAsia="仿宋" w:cs="宋体"/>
          <w:color w:val="auto"/>
        </w:rPr>
        <w:t>磋商小组人数详见《供应商须知前附表》。</w:t>
      </w:r>
    </w:p>
    <w:p w14:paraId="7FA3C45C">
      <w:pPr>
        <w:spacing w:line="360" w:lineRule="auto"/>
        <w:rPr>
          <w:rFonts w:ascii="仿宋" w:hAnsi="仿宋" w:eastAsia="仿宋" w:cs="宋体"/>
          <w:color w:val="auto"/>
          <w:szCs w:val="21"/>
        </w:rPr>
      </w:pPr>
      <w:r>
        <w:rPr>
          <w:rFonts w:hint="eastAsia" w:ascii="仿宋" w:hAnsi="仿宋" w:eastAsia="仿宋" w:cs="宋体"/>
          <w:color w:val="auto"/>
          <w:szCs w:val="21"/>
        </w:rPr>
        <w:t xml:space="preserve">23.2 磋商小组中的评审专家人数不少于磋商小组成员总数的2/3。除本采购文件另有规定，评审专家将从相关专家库中随机抽取。   </w:t>
      </w:r>
    </w:p>
    <w:p w14:paraId="2055E944">
      <w:pPr>
        <w:spacing w:line="360" w:lineRule="auto"/>
        <w:rPr>
          <w:rFonts w:ascii="仿宋" w:hAnsi="仿宋" w:eastAsia="仿宋" w:cs="宋体"/>
          <w:color w:val="auto"/>
          <w:szCs w:val="21"/>
        </w:rPr>
      </w:pPr>
      <w:r>
        <w:rPr>
          <w:rFonts w:hint="eastAsia" w:ascii="仿宋" w:hAnsi="仿宋" w:eastAsia="仿宋" w:cs="宋体"/>
          <w:color w:val="auto"/>
          <w:szCs w:val="21"/>
        </w:rPr>
        <w:t xml:space="preserve">23.3 </w:t>
      </w:r>
      <w:r>
        <w:rPr>
          <w:rFonts w:hint="eastAsia" w:ascii="仿宋" w:hAnsi="仿宋" w:eastAsia="仿宋" w:cs="宋体"/>
          <w:bCs/>
          <w:color w:val="auto"/>
          <w:kern w:val="44"/>
          <w:szCs w:val="21"/>
        </w:rPr>
        <w:t>磋商小组</w:t>
      </w:r>
      <w:r>
        <w:rPr>
          <w:rFonts w:hint="eastAsia" w:ascii="仿宋" w:hAnsi="仿宋" w:eastAsia="仿宋" w:cs="宋体"/>
          <w:color w:val="auto"/>
          <w:szCs w:val="21"/>
        </w:rPr>
        <w:t>所有成员</w:t>
      </w:r>
      <w:r>
        <w:rPr>
          <w:rFonts w:hint="eastAsia" w:ascii="仿宋" w:hAnsi="仿宋" w:eastAsia="仿宋" w:cs="宋体"/>
          <w:bCs/>
          <w:color w:val="auto"/>
          <w:kern w:val="44"/>
          <w:szCs w:val="21"/>
        </w:rPr>
        <w:t>按签到倒序的磋商顺序，</w:t>
      </w:r>
      <w:r>
        <w:rPr>
          <w:rFonts w:hint="eastAsia" w:ascii="仿宋" w:hAnsi="仿宋" w:eastAsia="仿宋" w:cs="宋体"/>
          <w:color w:val="auto"/>
          <w:szCs w:val="21"/>
        </w:rPr>
        <w:t>集中</w:t>
      </w:r>
      <w:r>
        <w:rPr>
          <w:rFonts w:hint="eastAsia" w:ascii="仿宋" w:hAnsi="仿宋" w:eastAsia="仿宋" w:cs="宋体"/>
          <w:bCs/>
          <w:color w:val="auto"/>
          <w:kern w:val="44"/>
          <w:szCs w:val="21"/>
        </w:rPr>
        <w:t>与</w:t>
      </w:r>
      <w:r>
        <w:rPr>
          <w:rFonts w:hint="eastAsia" w:ascii="仿宋" w:hAnsi="仿宋" w:eastAsia="仿宋" w:cs="宋体"/>
          <w:color w:val="auto"/>
          <w:szCs w:val="21"/>
        </w:rPr>
        <w:t>磋商供应商分别进行磋商，并给予所有参加磋商的供应商平等的磋商机会。</w:t>
      </w:r>
    </w:p>
    <w:p w14:paraId="1859D6D9">
      <w:pPr>
        <w:numPr>
          <w:ilvl w:val="0"/>
          <w:numId w:val="3"/>
        </w:numPr>
        <w:tabs>
          <w:tab w:val="left" w:pos="864"/>
          <w:tab w:val="left" w:pos="1080"/>
        </w:tabs>
        <w:spacing w:line="360" w:lineRule="auto"/>
        <w:ind w:hanging="540"/>
        <w:outlineLvl w:val="1"/>
        <w:rPr>
          <w:rFonts w:ascii="仿宋" w:hAnsi="仿宋" w:eastAsia="仿宋" w:cs="宋体"/>
          <w:b/>
          <w:snapToGrid w:val="0"/>
          <w:color w:val="auto"/>
          <w:kern w:val="0"/>
          <w:szCs w:val="21"/>
          <w:lang w:val="zh-CN"/>
        </w:rPr>
      </w:pPr>
      <w:bookmarkStart w:id="187" w:name="_Toc478050551"/>
      <w:bookmarkStart w:id="188" w:name="_Toc21483"/>
      <w:bookmarkStart w:id="189" w:name="_Toc149035941"/>
      <w:bookmarkStart w:id="190" w:name="_Toc9395"/>
      <w:bookmarkStart w:id="191" w:name="_Toc19856"/>
      <w:r>
        <w:rPr>
          <w:rFonts w:hint="eastAsia" w:ascii="仿宋" w:hAnsi="仿宋" w:eastAsia="仿宋" w:cs="宋体"/>
          <w:b/>
          <w:color w:val="auto"/>
        </w:rPr>
        <w:t>磋商代表</w:t>
      </w:r>
      <w:bookmarkEnd w:id="187"/>
      <w:bookmarkEnd w:id="188"/>
      <w:bookmarkEnd w:id="189"/>
      <w:bookmarkEnd w:id="190"/>
      <w:bookmarkEnd w:id="191"/>
    </w:p>
    <w:p w14:paraId="241526D1">
      <w:pPr>
        <w:tabs>
          <w:tab w:val="left" w:pos="864"/>
          <w:tab w:val="left" w:pos="1080"/>
        </w:tabs>
        <w:spacing w:line="360" w:lineRule="auto"/>
        <w:rPr>
          <w:rFonts w:ascii="仿宋" w:hAnsi="仿宋" w:eastAsia="仿宋" w:cs="宋体"/>
          <w:color w:val="auto"/>
          <w:szCs w:val="21"/>
        </w:rPr>
      </w:pPr>
      <w:bookmarkStart w:id="192" w:name="_Toc9967"/>
      <w:bookmarkStart w:id="193" w:name="_Toc32662"/>
      <w:r>
        <w:rPr>
          <w:rFonts w:hint="eastAsia" w:ascii="仿宋" w:hAnsi="仿宋" w:eastAsia="仿宋" w:cs="宋体"/>
          <w:b/>
          <w:color w:val="auto"/>
        </w:rPr>
        <w:t xml:space="preserve">24.1 </w:t>
      </w:r>
      <w:r>
        <w:rPr>
          <w:rFonts w:hint="eastAsia" w:ascii="仿宋" w:hAnsi="仿宋" w:eastAsia="仿宋" w:cs="宋体"/>
          <w:color w:val="auto"/>
          <w:szCs w:val="21"/>
        </w:rPr>
        <w:t>磋商供应商法定代表人或授权代表应携带本人身份证明参加磋商，授权代表参加磋商的，还应携带法定代表人授权书原件。磋商代表经磋商小组核对身份后，方可参加磋商。</w:t>
      </w:r>
      <w:bookmarkEnd w:id="192"/>
      <w:bookmarkEnd w:id="193"/>
    </w:p>
    <w:p w14:paraId="037E95E3">
      <w:pPr>
        <w:tabs>
          <w:tab w:val="left" w:pos="540"/>
        </w:tabs>
        <w:spacing w:line="360" w:lineRule="auto"/>
        <w:rPr>
          <w:rFonts w:ascii="仿宋" w:hAnsi="仿宋" w:eastAsia="仿宋" w:cs="宋体"/>
          <w:b/>
          <w:color w:val="auto"/>
          <w:szCs w:val="21"/>
        </w:rPr>
      </w:pPr>
      <w:r>
        <w:rPr>
          <w:rFonts w:hint="eastAsia" w:ascii="仿宋" w:hAnsi="仿宋" w:eastAsia="仿宋" w:cs="宋体"/>
          <w:b/>
          <w:color w:val="auto"/>
          <w:szCs w:val="21"/>
        </w:rPr>
        <w:t>2</w:t>
      </w:r>
      <w:r>
        <w:rPr>
          <w:rFonts w:hint="eastAsia" w:ascii="仿宋" w:hAnsi="仿宋" w:eastAsia="仿宋" w:cs="宋体"/>
          <w:b/>
          <w:color w:val="auto"/>
          <w:szCs w:val="21"/>
          <w:lang w:eastAsia="zh-CN"/>
        </w:rPr>
        <w:t>5.</w:t>
      </w:r>
      <w:r>
        <w:rPr>
          <w:rFonts w:hint="eastAsia" w:ascii="仿宋" w:hAnsi="仿宋" w:eastAsia="仿宋" w:cs="宋体"/>
          <w:b/>
          <w:color w:val="auto"/>
          <w:szCs w:val="21"/>
        </w:rPr>
        <w:t>资格审查和符合性审查</w:t>
      </w:r>
    </w:p>
    <w:p w14:paraId="659950B7">
      <w:pPr>
        <w:spacing w:line="360" w:lineRule="auto"/>
        <w:rPr>
          <w:rFonts w:ascii="仿宋" w:hAnsi="仿宋" w:eastAsia="仿宋" w:cs="宋体"/>
          <w:color w:val="auto"/>
          <w:szCs w:val="21"/>
        </w:rPr>
      </w:pPr>
      <w:r>
        <w:rPr>
          <w:rFonts w:hint="eastAsia" w:ascii="仿宋" w:hAnsi="仿宋" w:eastAsia="仿宋" w:cs="宋体"/>
          <w:color w:val="auto"/>
          <w:szCs w:val="21"/>
        </w:rPr>
        <w:t>25.1在正式磋商前，本磋商文件第四章规定的程序和方法，对供应商进行资格性审查和符合性审查，通过资格性审查和符合性审查，实质性响应磋商文件的供应商方可进入磋商程序。</w:t>
      </w:r>
    </w:p>
    <w:p w14:paraId="2BA5917D">
      <w:pPr>
        <w:tabs>
          <w:tab w:val="left" w:pos="540"/>
        </w:tabs>
        <w:spacing w:line="360" w:lineRule="auto"/>
        <w:rPr>
          <w:rFonts w:ascii="仿宋" w:hAnsi="仿宋" w:eastAsia="仿宋" w:cs="宋体"/>
          <w:b/>
          <w:color w:val="auto"/>
          <w:szCs w:val="21"/>
        </w:rPr>
      </w:pPr>
      <w:r>
        <w:rPr>
          <w:rFonts w:hint="eastAsia" w:ascii="仿宋" w:hAnsi="仿宋" w:eastAsia="仿宋" w:cs="宋体"/>
          <w:b/>
          <w:color w:val="auto"/>
          <w:szCs w:val="21"/>
        </w:rPr>
        <w:t>2</w:t>
      </w:r>
      <w:r>
        <w:rPr>
          <w:rFonts w:hint="eastAsia" w:ascii="仿宋" w:hAnsi="仿宋" w:eastAsia="仿宋" w:cs="宋体"/>
          <w:b/>
          <w:color w:val="auto"/>
          <w:szCs w:val="21"/>
          <w:lang w:eastAsia="zh-CN"/>
        </w:rPr>
        <w:t>6.</w:t>
      </w:r>
      <w:r>
        <w:rPr>
          <w:rFonts w:hint="eastAsia" w:ascii="仿宋" w:hAnsi="仿宋" w:eastAsia="仿宋" w:cs="宋体"/>
          <w:b/>
          <w:color w:val="auto"/>
          <w:szCs w:val="21"/>
        </w:rPr>
        <w:t>磋商</w:t>
      </w:r>
    </w:p>
    <w:p w14:paraId="74B82C50">
      <w:pPr>
        <w:spacing w:line="360" w:lineRule="auto"/>
        <w:rPr>
          <w:rFonts w:ascii="仿宋" w:hAnsi="仿宋" w:eastAsia="仿宋" w:cs="宋体"/>
          <w:color w:val="auto"/>
        </w:rPr>
      </w:pPr>
      <w:r>
        <w:rPr>
          <w:rFonts w:hint="eastAsia" w:ascii="仿宋" w:hAnsi="仿宋" w:eastAsia="仿宋" w:cs="宋体"/>
          <w:color w:val="auto"/>
          <w:szCs w:val="21"/>
        </w:rPr>
        <w:t>26.1磋商小组将根据本磋商文件第四章规定的程序和方法进行磋商。在磋商中，磋商的任何一方不得透露与磋商有关的其他磋商供应商的技</w:t>
      </w:r>
      <w:r>
        <w:rPr>
          <w:rFonts w:hint="eastAsia" w:ascii="仿宋" w:hAnsi="仿宋" w:eastAsia="仿宋" w:cs="宋体"/>
          <w:color w:val="auto"/>
        </w:rPr>
        <w:t>术资料、价格和其他信息。</w:t>
      </w:r>
    </w:p>
    <w:p w14:paraId="68D39EED">
      <w:pPr>
        <w:spacing w:line="360" w:lineRule="auto"/>
        <w:rPr>
          <w:rFonts w:ascii="仿宋" w:hAnsi="仿宋" w:eastAsia="仿宋" w:cs="宋体"/>
          <w:color w:val="auto"/>
        </w:rPr>
      </w:pPr>
      <w:r>
        <w:rPr>
          <w:rFonts w:hint="eastAsia" w:ascii="仿宋" w:hAnsi="仿宋" w:eastAsia="仿宋" w:cs="宋体"/>
          <w:color w:val="auto"/>
        </w:rPr>
        <w:t>26.2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以书面形式同时通知所有磋商供应商，</w:t>
      </w:r>
      <w:r>
        <w:rPr>
          <w:rFonts w:hint="eastAsia" w:ascii="仿宋" w:hAnsi="仿宋" w:eastAsia="仿宋" w:cs="宋体"/>
          <w:color w:val="auto"/>
          <w:szCs w:val="21"/>
        </w:rPr>
        <w:t>并提供必要的修正时间。</w:t>
      </w:r>
    </w:p>
    <w:p w14:paraId="08879252">
      <w:pPr>
        <w:spacing w:line="360" w:lineRule="auto"/>
        <w:rPr>
          <w:rFonts w:ascii="仿宋" w:hAnsi="仿宋" w:eastAsia="仿宋" w:cs="宋体"/>
          <w:color w:val="auto"/>
          <w:szCs w:val="21"/>
        </w:rPr>
      </w:pPr>
      <w:r>
        <w:rPr>
          <w:rFonts w:hint="eastAsia" w:ascii="仿宋" w:hAnsi="仿宋" w:eastAsia="仿宋" w:cs="宋体"/>
          <w:color w:val="auto"/>
        </w:rPr>
        <w:t>26.3供应商应当按照磋商文件的变动情况和磋商小组的要求重新提交响应文件，</w:t>
      </w:r>
      <w:r>
        <w:rPr>
          <w:rFonts w:hint="eastAsia" w:ascii="仿宋" w:hAnsi="仿宋" w:eastAsia="仿宋" w:cs="宋体"/>
          <w:color w:val="auto"/>
          <w:szCs w:val="21"/>
        </w:rPr>
        <w:t>对原响应文件进行技术、商务、价格修正，重新提交的响应文件应实质性响应本磋商文件及</w:t>
      </w:r>
      <w:r>
        <w:rPr>
          <w:rFonts w:hint="eastAsia" w:ascii="仿宋" w:hAnsi="仿宋" w:eastAsia="仿宋" w:cs="宋体"/>
          <w:color w:val="auto"/>
        </w:rPr>
        <w:t>对磋商文件作出的实质性变动，</w:t>
      </w:r>
      <w:r>
        <w:rPr>
          <w:rFonts w:hint="eastAsia" w:ascii="仿宋" w:hAnsi="仿宋" w:eastAsia="仿宋" w:cs="宋体"/>
          <w:color w:val="auto"/>
          <w:szCs w:val="21"/>
        </w:rPr>
        <w:t>并按本采购文件的规定进行签署。重新提交的响应文件与原响应文件不一致的，以重新提交的响应文件为准。不按要求签署或逾时不提交响应文件的，视同放弃磋商，放弃磋商的</w:t>
      </w:r>
      <w:r>
        <w:rPr>
          <w:rFonts w:hint="eastAsia" w:ascii="仿宋" w:hAnsi="仿宋" w:eastAsia="仿宋" w:cs="宋体"/>
          <w:color w:val="auto"/>
        </w:rPr>
        <w:t>供应商的磋商保证金将在成交通知书发放后的五个工作日内退还。</w:t>
      </w:r>
    </w:p>
    <w:p w14:paraId="7315CFFD">
      <w:pPr>
        <w:tabs>
          <w:tab w:val="left" w:pos="540"/>
        </w:tabs>
        <w:spacing w:line="360" w:lineRule="auto"/>
        <w:rPr>
          <w:rFonts w:ascii="仿宋" w:hAnsi="仿宋" w:eastAsia="仿宋" w:cs="宋体"/>
          <w:color w:val="auto"/>
        </w:rPr>
      </w:pPr>
      <w:r>
        <w:rPr>
          <w:rFonts w:hint="eastAsia" w:ascii="仿宋" w:hAnsi="仿宋" w:eastAsia="仿宋" w:cs="宋体"/>
          <w:color w:val="auto"/>
        </w:rPr>
        <w:t>26.4最后报价</w:t>
      </w:r>
    </w:p>
    <w:p w14:paraId="46A2A231">
      <w:pPr>
        <w:spacing w:line="360" w:lineRule="auto"/>
        <w:ind w:firstLine="420" w:firstLineChars="200"/>
        <w:rPr>
          <w:rFonts w:ascii="仿宋" w:hAnsi="仿宋" w:eastAsia="仿宋" w:cs="宋体"/>
          <w:color w:val="auto"/>
        </w:rPr>
      </w:pPr>
      <w:r>
        <w:rPr>
          <w:rFonts w:hint="eastAsia" w:ascii="仿宋" w:hAnsi="仿宋" w:eastAsia="仿宋" w:cs="宋体"/>
          <w:bCs/>
          <w:color w:val="auto"/>
          <w:kern w:val="44"/>
          <w:szCs w:val="21"/>
        </w:rPr>
        <w:t>采购代理机构将已确定条件的最后报价书发放至所有磋商供应商，要求磋商供应商在指定的时间内提交满足要求的最后报价，密封递交磋商小组。所有磋商供应商递交最后报价后，磋商小组将公布并记录所有磋商供应商的最终价格。</w:t>
      </w:r>
      <w:r>
        <w:rPr>
          <w:rFonts w:hint="eastAsia" w:ascii="仿宋" w:hAnsi="仿宋" w:eastAsia="仿宋" w:cs="宋体"/>
          <w:color w:val="auto"/>
        </w:rPr>
        <w:t>最后报价为本次竞争性磋商不可变动的最终价格。</w:t>
      </w:r>
    </w:p>
    <w:p w14:paraId="6FA1EEC0">
      <w:pPr>
        <w:spacing w:line="360" w:lineRule="auto"/>
        <w:ind w:firstLine="420" w:firstLineChars="200"/>
        <w:rPr>
          <w:rFonts w:ascii="仿宋" w:hAnsi="仿宋" w:eastAsia="仿宋" w:cs="宋体"/>
          <w:color w:val="auto"/>
        </w:rPr>
      </w:pPr>
      <w:r>
        <w:rPr>
          <w:rFonts w:hint="eastAsia" w:ascii="仿宋" w:hAnsi="仿宋" w:eastAsia="仿宋" w:cs="宋体"/>
          <w:color w:val="auto"/>
        </w:rPr>
        <w:t>磋商文件能够详细列明采购标的的技术、服务要求的，磋商结束后，磋商小组应当要求所有继续参加磋商的供应商在规定时间内提交最后报价，提交最后报价的供应商不得少于3家。</w:t>
      </w:r>
    </w:p>
    <w:p w14:paraId="01149333">
      <w:pPr>
        <w:spacing w:line="360" w:lineRule="auto"/>
        <w:ind w:firstLine="420" w:firstLineChars="200"/>
        <w:rPr>
          <w:rFonts w:ascii="仿宋" w:hAnsi="仿宋" w:eastAsia="仿宋" w:cs="宋体"/>
          <w:color w:val="auto"/>
        </w:rPr>
      </w:pPr>
      <w:r>
        <w:rPr>
          <w:rFonts w:hint="eastAsia" w:ascii="仿宋" w:hAnsi="仿宋" w:eastAsia="仿宋" w:cs="宋体"/>
          <w:color w:val="auto"/>
        </w:rPr>
        <w:t xml:space="preserve">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34D54A57">
      <w:pPr>
        <w:spacing w:line="360" w:lineRule="auto"/>
        <w:ind w:firstLine="420" w:firstLineChars="200"/>
        <w:rPr>
          <w:rFonts w:ascii="仿宋" w:hAnsi="仿宋" w:eastAsia="仿宋" w:cs="宋体"/>
          <w:color w:val="auto"/>
        </w:rPr>
      </w:pPr>
      <w:r>
        <w:rPr>
          <w:rFonts w:hint="eastAsia" w:ascii="仿宋" w:hAnsi="仿宋" w:eastAsia="仿宋" w:cs="宋体"/>
          <w:color w:val="auto"/>
        </w:rPr>
        <w:t>本采购项目提交最后报价供应商的确定方式详见《供应商须知前附表》。</w:t>
      </w:r>
    </w:p>
    <w:p w14:paraId="2BDB487A">
      <w:pPr>
        <w:spacing w:line="360" w:lineRule="auto"/>
        <w:rPr>
          <w:rFonts w:ascii="仿宋" w:hAnsi="仿宋" w:eastAsia="仿宋" w:cs="宋体"/>
          <w:color w:val="auto"/>
        </w:rPr>
      </w:pPr>
      <w:r>
        <w:rPr>
          <w:rFonts w:hint="eastAsia" w:ascii="仿宋" w:hAnsi="仿宋" w:eastAsia="仿宋" w:cs="宋体"/>
          <w:color w:val="auto"/>
        </w:rPr>
        <w:t>26.5</w:t>
      </w:r>
      <w:r>
        <w:rPr>
          <w:rFonts w:hint="eastAsia" w:ascii="仿宋" w:hAnsi="仿宋" w:eastAsia="仿宋" w:cs="宋体"/>
          <w:bCs/>
          <w:color w:val="auto"/>
          <w:kern w:val="44"/>
          <w:szCs w:val="21"/>
        </w:rPr>
        <w:t>如有需要，磋商小组可进行多轮磋商，直至最终确定竞争性磋商采购文件采购需求中的技术、服务要求以及合同草案条款。如竞争性磋商采购文件无需修改，可直接要求磋商供应商</w:t>
      </w:r>
      <w:r>
        <w:rPr>
          <w:rFonts w:hint="eastAsia" w:ascii="仿宋" w:hAnsi="仿宋" w:eastAsia="仿宋" w:cs="宋体"/>
          <w:color w:val="auto"/>
        </w:rPr>
        <w:t>提交最后报价</w:t>
      </w:r>
      <w:r>
        <w:rPr>
          <w:rFonts w:hint="eastAsia" w:ascii="仿宋" w:hAnsi="仿宋" w:eastAsia="仿宋" w:cs="宋体"/>
          <w:bCs/>
          <w:color w:val="auto"/>
          <w:kern w:val="44"/>
          <w:szCs w:val="21"/>
        </w:rPr>
        <w:t>。</w:t>
      </w:r>
    </w:p>
    <w:p w14:paraId="00A620A6">
      <w:pPr>
        <w:spacing w:line="360" w:lineRule="auto"/>
        <w:rPr>
          <w:rFonts w:ascii="仿宋" w:hAnsi="仿宋" w:eastAsia="仿宋" w:cs="宋体"/>
          <w:bCs/>
          <w:color w:val="auto"/>
          <w:kern w:val="44"/>
          <w:szCs w:val="21"/>
        </w:rPr>
      </w:pPr>
      <w:r>
        <w:rPr>
          <w:rFonts w:hint="eastAsia" w:ascii="仿宋" w:hAnsi="仿宋" w:eastAsia="仿宋" w:cs="宋体"/>
          <w:color w:val="auto"/>
        </w:rPr>
        <w:t>26.6</w:t>
      </w:r>
      <w:r>
        <w:rPr>
          <w:rFonts w:hint="eastAsia" w:ascii="仿宋" w:hAnsi="仿宋" w:eastAsia="仿宋" w:cs="宋体"/>
          <w:bCs/>
          <w:color w:val="auto"/>
          <w:kern w:val="44"/>
          <w:szCs w:val="21"/>
        </w:rPr>
        <w:t xml:space="preserve"> 磋商小组审核完最终报价后，根据竞争性磋商采购文件规定的评定办法推荐成交候选人或根据采购人的书面授权直接确定成交供应商。</w:t>
      </w:r>
    </w:p>
    <w:p w14:paraId="20E51879">
      <w:pPr>
        <w:spacing w:line="360" w:lineRule="auto"/>
        <w:rPr>
          <w:rFonts w:ascii="仿宋" w:hAnsi="仿宋" w:eastAsia="仿宋" w:cs="宋体"/>
          <w:bCs/>
          <w:color w:val="auto"/>
          <w:kern w:val="44"/>
          <w:szCs w:val="21"/>
        </w:rPr>
      </w:pPr>
      <w:r>
        <w:rPr>
          <w:rFonts w:hint="eastAsia" w:ascii="仿宋" w:hAnsi="仿宋" w:eastAsia="仿宋" w:cs="宋体"/>
          <w:bCs/>
          <w:color w:val="auto"/>
          <w:kern w:val="44"/>
          <w:szCs w:val="21"/>
        </w:rPr>
        <w:t>26.7采购代理机构对磋商过程和重要磋商内容进行记录，磋商双方在记录上签字确认。</w:t>
      </w:r>
    </w:p>
    <w:p w14:paraId="324C72EE">
      <w:pPr>
        <w:numPr>
          <w:ilvl w:val="0"/>
          <w:numId w:val="27"/>
        </w:numPr>
        <w:tabs>
          <w:tab w:val="left" w:pos="525"/>
        </w:tabs>
        <w:autoSpaceDE w:val="0"/>
        <w:autoSpaceDN w:val="0"/>
        <w:adjustRightInd w:val="0"/>
        <w:spacing w:line="360" w:lineRule="auto"/>
        <w:jc w:val="left"/>
        <w:rPr>
          <w:rFonts w:ascii="仿宋" w:hAnsi="仿宋" w:eastAsia="仿宋" w:cs="宋体"/>
          <w:b/>
          <w:snapToGrid w:val="0"/>
          <w:color w:val="auto"/>
          <w:kern w:val="0"/>
          <w:szCs w:val="21"/>
          <w:lang w:val="zh-CN"/>
        </w:rPr>
      </w:pPr>
      <w:r>
        <w:rPr>
          <w:rFonts w:hint="eastAsia" w:ascii="仿宋" w:hAnsi="仿宋" w:eastAsia="仿宋" w:cs="宋体"/>
          <w:b/>
          <w:snapToGrid w:val="0"/>
          <w:color w:val="auto"/>
          <w:kern w:val="0"/>
          <w:szCs w:val="21"/>
          <w:lang w:val="zh-CN"/>
        </w:rPr>
        <w:t>保密</w:t>
      </w:r>
    </w:p>
    <w:p w14:paraId="68EF429A">
      <w:pPr>
        <w:numPr>
          <w:ilvl w:val="1"/>
          <w:numId w:val="27"/>
        </w:numPr>
        <w:autoSpaceDE w:val="0"/>
        <w:autoSpaceDN w:val="0"/>
        <w:adjustRightInd w:val="0"/>
        <w:spacing w:line="360" w:lineRule="auto"/>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凡是属于审查、澄清、评价和比较的有关资料以及授标意向等，采购人、采购代理机构、监管人员、</w:t>
      </w:r>
      <w:r>
        <w:rPr>
          <w:rFonts w:hint="eastAsia" w:ascii="仿宋" w:hAnsi="仿宋" w:eastAsia="仿宋" w:cs="宋体"/>
          <w:bCs/>
          <w:color w:val="auto"/>
          <w:kern w:val="44"/>
          <w:szCs w:val="21"/>
        </w:rPr>
        <w:t>磋商小组</w:t>
      </w:r>
      <w:r>
        <w:rPr>
          <w:rFonts w:hint="eastAsia" w:ascii="仿宋" w:hAnsi="仿宋" w:eastAsia="仿宋" w:cs="宋体"/>
          <w:snapToGrid w:val="0"/>
          <w:color w:val="auto"/>
          <w:kern w:val="0"/>
          <w:szCs w:val="21"/>
          <w:lang w:val="zh-CN"/>
        </w:rPr>
        <w:t>及有关工作人员均不得向供应商或其它无关的人员透露。</w:t>
      </w:r>
    </w:p>
    <w:p w14:paraId="3CA5AC64">
      <w:pPr>
        <w:numPr>
          <w:ilvl w:val="1"/>
          <w:numId w:val="2"/>
        </w:numPr>
        <w:tabs>
          <w:tab w:val="clear" w:pos="840"/>
        </w:tabs>
        <w:spacing w:line="360" w:lineRule="auto"/>
        <w:ind w:left="540" w:hanging="540"/>
        <w:outlineLvl w:val="1"/>
        <w:rPr>
          <w:rFonts w:ascii="仿宋" w:hAnsi="仿宋" w:eastAsia="仿宋" w:cs="宋体"/>
          <w:b/>
          <w:color w:val="auto"/>
          <w:szCs w:val="21"/>
        </w:rPr>
      </w:pPr>
      <w:bookmarkStart w:id="194" w:name="_Toc8074"/>
      <w:bookmarkStart w:id="195" w:name="_Toc10806"/>
      <w:bookmarkStart w:id="196" w:name="_Toc149035942"/>
      <w:bookmarkStart w:id="197" w:name="_Toc478050552"/>
      <w:r>
        <w:rPr>
          <w:rFonts w:hint="eastAsia" w:ascii="仿宋" w:hAnsi="仿宋" w:eastAsia="仿宋" w:cs="宋体"/>
          <w:b/>
          <w:color w:val="auto"/>
          <w:szCs w:val="21"/>
        </w:rPr>
        <w:t>成交与签订合同</w:t>
      </w:r>
      <w:bookmarkEnd w:id="194"/>
      <w:bookmarkEnd w:id="195"/>
      <w:bookmarkEnd w:id="196"/>
      <w:bookmarkEnd w:id="197"/>
    </w:p>
    <w:p w14:paraId="573A5B35">
      <w:pPr>
        <w:numPr>
          <w:ilvl w:val="0"/>
          <w:numId w:val="28"/>
        </w:numPr>
        <w:tabs>
          <w:tab w:val="left" w:pos="426"/>
        </w:tabs>
        <w:spacing w:line="360" w:lineRule="auto"/>
        <w:ind w:left="0" w:firstLine="0"/>
        <w:rPr>
          <w:rFonts w:ascii="仿宋" w:hAnsi="仿宋" w:eastAsia="仿宋" w:cs="宋体"/>
          <w:b/>
          <w:snapToGrid w:val="0"/>
          <w:color w:val="auto"/>
          <w:kern w:val="0"/>
          <w:szCs w:val="21"/>
          <w:lang w:val="zh-CN"/>
        </w:rPr>
      </w:pPr>
      <w:r>
        <w:rPr>
          <w:rFonts w:hint="eastAsia" w:ascii="仿宋" w:hAnsi="仿宋" w:eastAsia="仿宋" w:cs="宋体"/>
          <w:b/>
          <w:snapToGrid w:val="0"/>
          <w:color w:val="auto"/>
          <w:kern w:val="0"/>
          <w:szCs w:val="21"/>
          <w:lang w:val="zh-CN"/>
        </w:rPr>
        <w:t>合同授予标准</w:t>
      </w:r>
    </w:p>
    <w:p w14:paraId="0E4A0B2C">
      <w:pPr>
        <w:autoSpaceDE w:val="0"/>
        <w:autoSpaceDN w:val="0"/>
        <w:adjustRightInd w:val="0"/>
        <w:spacing w:line="360" w:lineRule="auto"/>
        <w:jc w:val="left"/>
        <w:rPr>
          <w:rFonts w:ascii="仿宋" w:hAnsi="仿宋" w:eastAsia="仿宋" w:cs="宋体"/>
          <w:iCs/>
          <w:snapToGrid w:val="0"/>
          <w:color w:val="auto"/>
          <w:kern w:val="0"/>
          <w:szCs w:val="21"/>
          <w:lang w:val="zh-CN"/>
        </w:rPr>
      </w:pPr>
      <w:r>
        <w:rPr>
          <w:rFonts w:hint="eastAsia" w:ascii="仿宋" w:hAnsi="仿宋" w:eastAsia="仿宋" w:cs="宋体"/>
          <w:iCs/>
          <w:snapToGrid w:val="0"/>
          <w:color w:val="auto"/>
          <w:kern w:val="0"/>
          <w:szCs w:val="21"/>
          <w:lang w:val="zh-CN"/>
        </w:rPr>
        <w:t>28.1 采购人将把合同授予排名第一的供应商，特殊情况按本须知29.3的规定执行。</w:t>
      </w:r>
    </w:p>
    <w:p w14:paraId="7B1F4EC1">
      <w:pPr>
        <w:tabs>
          <w:tab w:val="left" w:pos="1080"/>
        </w:tabs>
        <w:spacing w:line="360" w:lineRule="auto"/>
        <w:rPr>
          <w:rFonts w:ascii="仿宋" w:hAnsi="仿宋" w:eastAsia="仿宋" w:cs="宋体"/>
          <w:b/>
          <w:snapToGrid w:val="0"/>
          <w:color w:val="auto"/>
          <w:kern w:val="0"/>
          <w:szCs w:val="21"/>
          <w:lang w:val="zh-CN"/>
        </w:rPr>
      </w:pPr>
      <w:r>
        <w:rPr>
          <w:rFonts w:hint="eastAsia" w:ascii="仿宋" w:hAnsi="仿宋" w:eastAsia="仿宋" w:cs="宋体"/>
          <w:b/>
          <w:snapToGrid w:val="0"/>
          <w:color w:val="auto"/>
          <w:kern w:val="0"/>
          <w:szCs w:val="21"/>
          <w:lang w:val="zh-CN"/>
        </w:rPr>
        <w:t>29.签订合同</w:t>
      </w:r>
    </w:p>
    <w:p w14:paraId="2A6548BB">
      <w:pPr>
        <w:tabs>
          <w:tab w:val="left" w:pos="426"/>
        </w:tabs>
        <w:autoSpaceDE w:val="0"/>
        <w:autoSpaceDN w:val="0"/>
        <w:adjustRightInd w:val="0"/>
        <w:spacing w:line="360" w:lineRule="auto"/>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29.1 竞争性磋商采购文件对履约保证金有规定的，成交供应商应按规定在签订合同前缴纳履约保证金。有关履约保证金的规定《供应商须知前附表》。</w:t>
      </w:r>
    </w:p>
    <w:p w14:paraId="5D3926A5">
      <w:pPr>
        <w:tabs>
          <w:tab w:val="left" w:pos="426"/>
        </w:tabs>
        <w:autoSpaceDE w:val="0"/>
        <w:autoSpaceDN w:val="0"/>
        <w:adjustRightInd w:val="0"/>
        <w:spacing w:line="360" w:lineRule="auto"/>
        <w:jc w:val="left"/>
        <w:rPr>
          <w:rFonts w:ascii="仿宋" w:hAnsi="仿宋" w:eastAsia="仿宋" w:cs="宋体"/>
          <w:color w:val="auto"/>
        </w:rPr>
      </w:pPr>
      <w:r>
        <w:rPr>
          <w:rFonts w:hint="eastAsia" w:ascii="仿宋" w:hAnsi="仿宋" w:eastAsia="仿宋" w:cs="宋体"/>
          <w:snapToGrid w:val="0"/>
          <w:color w:val="auto"/>
          <w:szCs w:val="21"/>
          <w:lang w:val="zh-CN"/>
        </w:rPr>
        <w:t>29.2 采购人与成交供应商应当在成交通知书发出之日起30日内，按照采购文件确定的合同文本以及采购标的、规格型号、采购金额、采购数量、技术和服务要求等事项签订采购合同。</w:t>
      </w:r>
    </w:p>
    <w:p w14:paraId="0C07B8D9">
      <w:pPr>
        <w:autoSpaceDE w:val="0"/>
        <w:autoSpaceDN w:val="0"/>
        <w:adjustRightInd w:val="0"/>
        <w:spacing w:line="360" w:lineRule="auto"/>
        <w:ind w:firstLine="424" w:firstLineChars="202"/>
        <w:jc w:val="left"/>
        <w:rPr>
          <w:rFonts w:ascii="仿宋" w:hAnsi="仿宋" w:eastAsia="仿宋" w:cs="宋体"/>
          <w:color w:val="auto"/>
        </w:rPr>
      </w:pPr>
      <w:r>
        <w:rPr>
          <w:rFonts w:hint="eastAsia" w:ascii="仿宋" w:hAnsi="仿宋" w:eastAsia="仿宋" w:cs="宋体"/>
          <w:color w:val="auto"/>
        </w:rPr>
        <w:t>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p>
    <w:p w14:paraId="15E10FC3">
      <w:pPr>
        <w:autoSpaceDE w:val="0"/>
        <w:autoSpaceDN w:val="0"/>
        <w:adjustRightInd w:val="0"/>
        <w:spacing w:line="360" w:lineRule="auto"/>
        <w:jc w:val="left"/>
        <w:rPr>
          <w:rFonts w:ascii="仿宋" w:hAnsi="仿宋" w:eastAsia="仿宋" w:cs="宋体"/>
          <w:color w:val="auto"/>
        </w:rPr>
      </w:pPr>
      <w:r>
        <w:rPr>
          <w:rFonts w:hint="eastAsia" w:ascii="仿宋" w:hAnsi="仿宋" w:eastAsia="仿宋" w:cs="宋体"/>
          <w:color w:val="auto"/>
        </w:rPr>
        <w:t xml:space="preserve">29.3 </w:t>
      </w:r>
      <w:r>
        <w:rPr>
          <w:rFonts w:hint="eastAsia" w:ascii="仿宋" w:hAnsi="仿宋" w:eastAsia="仿宋" w:cs="宋体"/>
          <w:color w:val="auto"/>
          <w:lang w:val="zh-CN"/>
        </w:rPr>
        <w:t>成交供应商拒绝与采购人签订合同的，采购人可以按照评审报告推荐的中标候选人名单排序，确定下一候选人为成交供应商，也可以重新开展采购活动。</w:t>
      </w:r>
    </w:p>
    <w:p w14:paraId="424622D8">
      <w:pPr>
        <w:tabs>
          <w:tab w:val="left" w:pos="540"/>
        </w:tabs>
        <w:autoSpaceDE w:val="0"/>
        <w:autoSpaceDN w:val="0"/>
        <w:adjustRightInd w:val="0"/>
        <w:spacing w:line="360" w:lineRule="auto"/>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29.</w:t>
      </w:r>
      <w:r>
        <w:rPr>
          <w:rFonts w:ascii="仿宋" w:hAnsi="仿宋" w:eastAsia="仿宋" w:cs="宋体"/>
          <w:snapToGrid w:val="0"/>
          <w:color w:val="auto"/>
          <w:kern w:val="0"/>
          <w:szCs w:val="21"/>
          <w:lang w:val="zh-CN"/>
        </w:rPr>
        <w:t>4</w:t>
      </w:r>
      <w:r>
        <w:rPr>
          <w:rFonts w:hint="eastAsia" w:ascii="仿宋" w:hAnsi="仿宋" w:eastAsia="仿宋" w:cs="宋体"/>
          <w:snapToGrid w:val="0"/>
          <w:color w:val="auto"/>
          <w:kern w:val="0"/>
          <w:szCs w:val="21"/>
          <w:lang w:val="zh-CN"/>
        </w:rPr>
        <w:t xml:space="preserve"> 采购代理机构将配合采购人与成交供应商签订采购合同。采购人与成交供应商应按竞争性磋商采购文件要求和成交供应商的竞争性磋商响应文件承诺订立书面合同，不得超出竞争性磋商采购文件和成交供应商竞争性磋商响应文件的范围，也不得再行订立背离合同实质性内容的其他协议。</w:t>
      </w:r>
    </w:p>
    <w:p w14:paraId="41EA4744">
      <w:pPr>
        <w:tabs>
          <w:tab w:val="left" w:pos="540"/>
        </w:tabs>
        <w:autoSpaceDE w:val="0"/>
        <w:autoSpaceDN w:val="0"/>
        <w:adjustRightInd w:val="0"/>
        <w:spacing w:line="360" w:lineRule="auto"/>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szCs w:val="21"/>
          <w:lang w:val="zh-CN"/>
        </w:rPr>
        <w:t>29.</w:t>
      </w:r>
      <w:r>
        <w:rPr>
          <w:rFonts w:ascii="仿宋" w:hAnsi="仿宋" w:eastAsia="仿宋" w:cs="宋体"/>
          <w:snapToGrid w:val="0"/>
          <w:color w:val="auto"/>
          <w:szCs w:val="21"/>
          <w:lang w:val="zh-CN"/>
        </w:rPr>
        <w:t>5</w:t>
      </w:r>
      <w:r>
        <w:rPr>
          <w:rFonts w:hint="eastAsia" w:ascii="仿宋" w:hAnsi="仿宋" w:eastAsia="仿宋" w:cs="宋体"/>
          <w:snapToGrid w:val="0"/>
          <w:color w:val="auto"/>
          <w:szCs w:val="21"/>
          <w:lang w:val="zh-CN"/>
        </w:rPr>
        <w:t>除不可抗力等因素外，成交通知书发出后，采购人改变成交结果，或者成交供应商拒绝签订采购合同的，应当承担相应的法律责任。</w:t>
      </w:r>
    </w:p>
    <w:p w14:paraId="1A026DD9">
      <w:pPr>
        <w:autoSpaceDE w:val="0"/>
        <w:autoSpaceDN w:val="0"/>
        <w:adjustRightInd w:val="0"/>
        <w:spacing w:line="360" w:lineRule="auto"/>
        <w:ind w:firstLine="435"/>
        <w:jc w:val="left"/>
        <w:rPr>
          <w:rFonts w:ascii="仿宋" w:hAnsi="仿宋" w:eastAsia="仿宋" w:cs="宋体"/>
          <w:snapToGrid w:val="0"/>
          <w:color w:val="auto"/>
          <w:kern w:val="0"/>
          <w:szCs w:val="21"/>
          <w:lang w:val="zh-CN"/>
        </w:rPr>
      </w:pPr>
      <w:r>
        <w:rPr>
          <w:rFonts w:hint="eastAsia" w:ascii="仿宋" w:hAnsi="仿宋" w:eastAsia="仿宋" w:cs="宋体"/>
          <w:color w:val="auto"/>
        </w:rPr>
        <w:t>成交供应商拒绝签订采购合同的，采购人可以参照《政府采购竞争性磋商采购方式管理暂行办法》第三十三条规定的原则确定其他供应商作为成交供应商并签订采购合同，也可以重新开展采购活动。拒绝签订采购合同的成交供应商不得参加对该项目重新开展的采购活动。</w:t>
      </w:r>
    </w:p>
    <w:p w14:paraId="5EFBE5B8">
      <w:pPr>
        <w:tabs>
          <w:tab w:val="left" w:pos="540"/>
        </w:tabs>
        <w:spacing w:line="360" w:lineRule="auto"/>
        <w:outlineLvl w:val="1"/>
        <w:rPr>
          <w:rFonts w:ascii="仿宋" w:hAnsi="仿宋" w:eastAsia="仿宋" w:cs="宋体"/>
          <w:b/>
          <w:snapToGrid w:val="0"/>
          <w:color w:val="auto"/>
          <w:kern w:val="0"/>
          <w:szCs w:val="21"/>
        </w:rPr>
      </w:pPr>
      <w:bookmarkStart w:id="198" w:name="_Toc1223"/>
      <w:r>
        <w:rPr>
          <w:rFonts w:hint="eastAsia" w:ascii="仿宋" w:hAnsi="仿宋" w:eastAsia="仿宋" w:cs="宋体"/>
          <w:b/>
          <w:snapToGrid w:val="0"/>
          <w:color w:val="auto"/>
          <w:kern w:val="0"/>
          <w:szCs w:val="21"/>
          <w:lang w:val="zh-CN"/>
        </w:rPr>
        <w:t>七、</w:t>
      </w:r>
      <w:r>
        <w:rPr>
          <w:rFonts w:hint="eastAsia" w:ascii="仿宋" w:hAnsi="仿宋" w:eastAsia="仿宋" w:cs="宋体"/>
          <w:b/>
          <w:snapToGrid w:val="0"/>
          <w:color w:val="auto"/>
          <w:kern w:val="0"/>
          <w:szCs w:val="21"/>
        </w:rPr>
        <w:t>质疑投诉</w:t>
      </w:r>
      <w:bookmarkEnd w:id="198"/>
    </w:p>
    <w:p w14:paraId="574E8E24">
      <w:pPr>
        <w:autoSpaceDE w:val="0"/>
        <w:autoSpaceDN w:val="0"/>
        <w:adjustRightInd w:val="0"/>
        <w:spacing w:line="360" w:lineRule="auto"/>
        <w:ind w:firstLine="420" w:firstLineChars="20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供应商认为采购文件、采购过程、中标或者成交结果使自己的权益受到损害的，可以在知道或者应知其权益受到损害之日起7个工作日内，以书面形式向采购人、采购代理机构提出质疑。</w:t>
      </w:r>
      <w:r>
        <w:rPr>
          <w:rFonts w:hint="eastAsia" w:ascii="仿宋" w:hAnsi="仿宋" w:eastAsia="仿宋" w:cs="宋体"/>
          <w:snapToGrid w:val="0"/>
          <w:color w:val="auto"/>
          <w:kern w:val="0"/>
          <w:szCs w:val="21"/>
        </w:rPr>
        <w:t>质疑供</w:t>
      </w:r>
      <w:r>
        <w:rPr>
          <w:rFonts w:hint="eastAsia" w:ascii="仿宋" w:hAnsi="仿宋" w:eastAsia="仿宋" w:cs="宋体"/>
          <w:snapToGrid w:val="0"/>
          <w:color w:val="auto"/>
          <w:kern w:val="0"/>
          <w:szCs w:val="21"/>
          <w:lang w:val="zh-CN"/>
        </w:rPr>
        <w:t>应商</w:t>
      </w:r>
      <w:r>
        <w:rPr>
          <w:rFonts w:hint="eastAsia" w:ascii="仿宋" w:hAnsi="仿宋" w:eastAsia="仿宋" w:cs="宋体"/>
          <w:snapToGrid w:val="0"/>
          <w:color w:val="auto"/>
          <w:kern w:val="0"/>
          <w:szCs w:val="21"/>
        </w:rPr>
        <w:t>应当</w:t>
      </w:r>
      <w:r>
        <w:rPr>
          <w:rFonts w:hint="eastAsia" w:ascii="仿宋" w:hAnsi="仿宋" w:eastAsia="仿宋" w:cs="宋体"/>
          <w:snapToGrid w:val="0"/>
          <w:color w:val="auto"/>
          <w:kern w:val="0"/>
          <w:szCs w:val="21"/>
          <w:lang w:val="zh-CN"/>
        </w:rPr>
        <w:t>在法定质疑期内一次性提出针对同一采购程序环节的质疑。</w:t>
      </w:r>
    </w:p>
    <w:p w14:paraId="6088B9B4">
      <w:pPr>
        <w:autoSpaceDE w:val="0"/>
        <w:autoSpaceDN w:val="0"/>
        <w:adjustRightInd w:val="0"/>
        <w:spacing w:line="360" w:lineRule="auto"/>
        <w:ind w:firstLine="420" w:firstLineChars="20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采购人、采购代理机构在收到质疑函后7个工作日内作出答复。</w:t>
      </w:r>
    </w:p>
    <w:p w14:paraId="2B7C5328">
      <w:pPr>
        <w:autoSpaceDE w:val="0"/>
        <w:autoSpaceDN w:val="0"/>
        <w:adjustRightInd w:val="0"/>
        <w:spacing w:line="360" w:lineRule="auto"/>
        <w:ind w:firstLine="420" w:firstLineChars="200"/>
        <w:jc w:val="left"/>
        <w:rPr>
          <w:rFonts w:ascii="仿宋" w:hAnsi="仿宋" w:eastAsia="仿宋" w:cs="宋体"/>
          <w:snapToGrid w:val="0"/>
          <w:color w:val="auto"/>
          <w:kern w:val="0"/>
          <w:szCs w:val="21"/>
        </w:rPr>
      </w:pPr>
      <w:r>
        <w:rPr>
          <w:rFonts w:hint="eastAsia" w:ascii="仿宋" w:hAnsi="仿宋" w:eastAsia="仿宋" w:cs="宋体"/>
          <w:snapToGrid w:val="0"/>
          <w:color w:val="auto"/>
          <w:kern w:val="0"/>
          <w:szCs w:val="21"/>
          <w:lang w:val="zh-CN"/>
        </w:rPr>
        <w:t>质疑供应商对采购人、采购代理机构的答复不满意，或者采购人、采购代理机构未在规定时间内作出答复的，可以在答复期满后15个工作日内提起投诉。</w:t>
      </w:r>
    </w:p>
    <w:p w14:paraId="21069D2E">
      <w:pPr>
        <w:tabs>
          <w:tab w:val="left" w:pos="540"/>
        </w:tabs>
        <w:spacing w:line="360" w:lineRule="auto"/>
        <w:outlineLvl w:val="1"/>
        <w:rPr>
          <w:rFonts w:ascii="仿宋" w:hAnsi="仿宋" w:eastAsia="仿宋" w:cs="宋体"/>
          <w:b/>
          <w:snapToGrid w:val="0"/>
          <w:color w:val="auto"/>
          <w:kern w:val="0"/>
          <w:szCs w:val="21"/>
          <w:lang w:val="zh-CN"/>
        </w:rPr>
      </w:pPr>
      <w:bookmarkStart w:id="199" w:name="_Toc10427"/>
      <w:r>
        <w:rPr>
          <w:rFonts w:hint="eastAsia" w:ascii="仿宋" w:hAnsi="仿宋" w:eastAsia="仿宋" w:cs="宋体"/>
          <w:b/>
          <w:snapToGrid w:val="0"/>
          <w:color w:val="auto"/>
          <w:kern w:val="0"/>
          <w:szCs w:val="21"/>
        </w:rPr>
        <w:t>八、</w:t>
      </w:r>
      <w:r>
        <w:rPr>
          <w:rFonts w:hint="eastAsia" w:ascii="仿宋" w:hAnsi="仿宋" w:eastAsia="仿宋" w:cs="宋体"/>
          <w:b/>
          <w:snapToGrid w:val="0"/>
          <w:color w:val="auto"/>
          <w:kern w:val="0"/>
          <w:szCs w:val="21"/>
          <w:lang w:val="zh-CN"/>
        </w:rPr>
        <w:t>其他要求</w:t>
      </w:r>
      <w:bookmarkEnd w:id="199"/>
    </w:p>
    <w:p w14:paraId="450836A4">
      <w:pPr>
        <w:autoSpaceDE w:val="0"/>
        <w:autoSpaceDN w:val="0"/>
        <w:adjustRightInd w:val="0"/>
        <w:spacing w:line="360" w:lineRule="auto"/>
        <w:ind w:firstLine="420" w:firstLineChars="20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见《供应商须知前附表》。</w:t>
      </w:r>
    </w:p>
    <w:p w14:paraId="78CA040D">
      <w:pPr>
        <w:autoSpaceDE w:val="0"/>
        <w:autoSpaceDN w:val="0"/>
        <w:adjustRightInd w:val="0"/>
        <w:spacing w:line="360" w:lineRule="auto"/>
        <w:ind w:firstLine="420" w:firstLineChars="200"/>
        <w:jc w:val="left"/>
        <w:rPr>
          <w:rFonts w:ascii="仿宋" w:hAnsi="仿宋" w:eastAsia="仿宋" w:cs="宋体"/>
          <w:snapToGrid w:val="0"/>
          <w:color w:val="auto"/>
          <w:kern w:val="0"/>
          <w:szCs w:val="21"/>
        </w:rPr>
      </w:pPr>
      <w:r>
        <w:rPr>
          <w:rFonts w:hint="eastAsia" w:ascii="仿宋" w:hAnsi="仿宋" w:eastAsia="仿宋" w:cs="宋体"/>
          <w:snapToGrid w:val="0"/>
          <w:color w:val="auto"/>
          <w:kern w:val="0"/>
          <w:szCs w:val="21"/>
        </w:rPr>
        <w:t>本采购文件最终解释权归采购人和采购代理机构所有。</w:t>
      </w:r>
    </w:p>
    <w:p w14:paraId="5F8D088C">
      <w:pPr>
        <w:tabs>
          <w:tab w:val="left" w:pos="540"/>
        </w:tabs>
        <w:spacing w:line="360" w:lineRule="auto"/>
        <w:outlineLvl w:val="1"/>
        <w:rPr>
          <w:rFonts w:ascii="仿宋" w:hAnsi="仿宋" w:eastAsia="仿宋" w:cs="宋体"/>
          <w:b/>
          <w:snapToGrid w:val="0"/>
          <w:color w:val="auto"/>
          <w:kern w:val="0"/>
          <w:szCs w:val="21"/>
          <w:lang w:val="zh-CN"/>
        </w:rPr>
      </w:pPr>
      <w:bookmarkStart w:id="200" w:name="_Toc794"/>
      <w:r>
        <w:rPr>
          <w:rFonts w:hint="eastAsia" w:ascii="仿宋" w:hAnsi="仿宋" w:eastAsia="仿宋" w:cs="宋体"/>
          <w:b/>
          <w:snapToGrid w:val="0"/>
          <w:color w:val="auto"/>
          <w:kern w:val="0"/>
          <w:szCs w:val="21"/>
        </w:rPr>
        <w:t>九</w:t>
      </w:r>
      <w:r>
        <w:rPr>
          <w:rFonts w:hint="eastAsia" w:ascii="仿宋" w:hAnsi="仿宋" w:eastAsia="仿宋" w:cs="宋体"/>
          <w:b/>
          <w:snapToGrid w:val="0"/>
          <w:color w:val="auto"/>
          <w:kern w:val="0"/>
          <w:szCs w:val="21"/>
          <w:lang w:val="zh-CN"/>
        </w:rPr>
        <w:t>、适用法律</w:t>
      </w:r>
      <w:bookmarkEnd w:id="200"/>
    </w:p>
    <w:p w14:paraId="1B12B9D4">
      <w:pPr>
        <w:autoSpaceDE w:val="0"/>
        <w:autoSpaceDN w:val="0"/>
        <w:adjustRightInd w:val="0"/>
        <w:spacing w:line="360" w:lineRule="auto"/>
        <w:ind w:firstLine="420" w:firstLineChars="200"/>
        <w:jc w:val="left"/>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采购人、采购代理机构及供应商的一切招标投标活动均参照《中华人民共和国政府采购法》及相关规定。</w:t>
      </w:r>
    </w:p>
    <w:p w14:paraId="10228065">
      <w:pPr>
        <w:pStyle w:val="2"/>
        <w:numPr>
          <w:ilvl w:val="0"/>
          <w:numId w:val="1"/>
        </w:numPr>
        <w:spacing w:line="240" w:lineRule="auto"/>
        <w:jc w:val="center"/>
        <w:rPr>
          <w:rFonts w:ascii="仿宋" w:hAnsi="仿宋" w:eastAsia="仿宋" w:cs="宋体"/>
          <w:color w:val="auto"/>
          <w:sz w:val="36"/>
          <w:szCs w:val="36"/>
        </w:rPr>
        <w:sectPr>
          <w:footerReference r:id="rId5" w:type="default"/>
          <w:type w:val="continuous"/>
          <w:pgSz w:w="11906" w:h="16838"/>
          <w:pgMar w:top="1417" w:right="1417" w:bottom="1417" w:left="1417" w:header="851" w:footer="992" w:gutter="0"/>
          <w:pgNumType w:start="1"/>
          <w:cols w:space="720" w:num="1"/>
          <w:docGrid w:type="lines" w:linePitch="312" w:charSpace="0"/>
        </w:sectPr>
      </w:pPr>
    </w:p>
    <w:p w14:paraId="080E4CDF">
      <w:pPr>
        <w:pStyle w:val="2"/>
        <w:numPr>
          <w:ilvl w:val="0"/>
          <w:numId w:val="1"/>
        </w:numPr>
        <w:jc w:val="center"/>
        <w:rPr>
          <w:rFonts w:ascii="仿宋" w:hAnsi="仿宋" w:eastAsia="仿宋" w:cs="宋体"/>
          <w:color w:val="auto"/>
        </w:rPr>
      </w:pPr>
      <w:r>
        <w:rPr>
          <w:rFonts w:hint="eastAsia" w:ascii="仿宋" w:hAnsi="仿宋" w:eastAsia="仿宋" w:cs="宋体"/>
          <w:color w:val="auto"/>
          <w:szCs w:val="21"/>
        </w:rPr>
        <w:br w:type="page"/>
      </w:r>
      <w:bookmarkStart w:id="201" w:name="_Toc7009"/>
      <w:bookmarkStart w:id="202" w:name="_Toc149035946"/>
      <w:r>
        <w:rPr>
          <w:rFonts w:hint="eastAsia" w:ascii="仿宋" w:hAnsi="仿宋" w:eastAsia="仿宋" w:cs="宋体"/>
          <w:color w:val="auto"/>
          <w:sz w:val="36"/>
          <w:szCs w:val="36"/>
        </w:rPr>
        <w:t>采购需求</w:t>
      </w:r>
      <w:bookmarkEnd w:id="201"/>
      <w:bookmarkEnd w:id="202"/>
    </w:p>
    <w:p w14:paraId="242D999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_GB2312"/>
          <w:b/>
          <w:bCs/>
          <w:color w:val="auto"/>
          <w:sz w:val="21"/>
          <w:szCs w:val="21"/>
        </w:rPr>
      </w:pPr>
      <w:r>
        <w:rPr>
          <w:rFonts w:hint="eastAsia" w:ascii="仿宋" w:hAnsi="仿宋" w:eastAsia="仿宋" w:cs="仿宋_GB2312"/>
          <w:b/>
          <w:bCs/>
          <w:color w:val="auto"/>
          <w:sz w:val="21"/>
          <w:szCs w:val="21"/>
        </w:rPr>
        <w:t>注意：</w:t>
      </w:r>
    </w:p>
    <w:p w14:paraId="00F56799">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_GB2312"/>
          <w:b/>
          <w:bCs/>
          <w:color w:val="auto"/>
          <w:sz w:val="21"/>
          <w:szCs w:val="21"/>
        </w:rPr>
      </w:pPr>
      <w:r>
        <w:rPr>
          <w:rFonts w:hint="eastAsia" w:ascii="仿宋" w:hAnsi="仿宋" w:eastAsia="仿宋" w:cs="仿宋_GB2312"/>
          <w:b/>
          <w:bCs/>
          <w:color w:val="auto"/>
          <w:sz w:val="21"/>
          <w:szCs w:val="21"/>
          <w:lang w:eastAsia="zh-CN"/>
        </w:rPr>
        <w:t>1.</w:t>
      </w:r>
      <w:r>
        <w:rPr>
          <w:rFonts w:hint="eastAsia" w:ascii="仿宋" w:hAnsi="仿宋" w:eastAsia="仿宋" w:cs="仿宋_GB2312"/>
          <w:b/>
          <w:bCs/>
          <w:color w:val="auto"/>
          <w:sz w:val="21"/>
          <w:szCs w:val="21"/>
        </w:rPr>
        <w:t>本章涉及到的品牌或规格型号、尺寸等信息均是为了方便</w:t>
      </w:r>
      <w:r>
        <w:rPr>
          <w:rFonts w:hint="eastAsia" w:ascii="仿宋" w:hAnsi="仿宋" w:eastAsia="仿宋" w:cs="仿宋_GB2312"/>
          <w:b/>
          <w:bCs/>
          <w:color w:val="auto"/>
          <w:sz w:val="21"/>
          <w:szCs w:val="21"/>
          <w:lang w:eastAsia="zh-CN"/>
        </w:rPr>
        <w:t>供应商</w:t>
      </w:r>
      <w:r>
        <w:rPr>
          <w:rFonts w:hint="eastAsia" w:ascii="仿宋" w:hAnsi="仿宋" w:eastAsia="仿宋" w:cs="仿宋_GB2312"/>
          <w:b/>
          <w:bCs/>
          <w:color w:val="auto"/>
          <w:sz w:val="21"/>
          <w:szCs w:val="21"/>
        </w:rPr>
        <w:t>直观和准确地把握相应产品/设备的技术标准，不具指定或唯一的意思表示，</w:t>
      </w:r>
      <w:r>
        <w:rPr>
          <w:rFonts w:hint="eastAsia" w:ascii="仿宋" w:hAnsi="仿宋" w:eastAsia="仿宋" w:cs="仿宋_GB2312"/>
          <w:b/>
          <w:bCs/>
          <w:color w:val="auto"/>
          <w:sz w:val="21"/>
          <w:szCs w:val="21"/>
          <w:lang w:eastAsia="zh-CN"/>
        </w:rPr>
        <w:t>供应商</w:t>
      </w:r>
      <w:r>
        <w:rPr>
          <w:rFonts w:hint="eastAsia" w:ascii="仿宋" w:hAnsi="仿宋" w:eastAsia="仿宋" w:cs="仿宋_GB2312"/>
          <w:b/>
          <w:bCs/>
          <w:color w:val="auto"/>
          <w:sz w:val="21"/>
          <w:szCs w:val="21"/>
        </w:rPr>
        <w:t>应当对照所列品牌/规格型号的产品/设备，采购相当于或高于所列品牌/规格型号技术标准的产品/设备。并提供相应证明材料证明其符合采购需求。本项目涉及的强制性规范标准如有最新版本，以最新版本为准。</w:t>
      </w:r>
    </w:p>
    <w:p w14:paraId="39DBDB7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_GB2312"/>
          <w:b/>
          <w:bCs/>
          <w:color w:val="auto"/>
          <w:sz w:val="21"/>
          <w:szCs w:val="21"/>
        </w:rPr>
      </w:pPr>
      <w:r>
        <w:rPr>
          <w:rFonts w:hint="eastAsia" w:ascii="仿宋" w:hAnsi="仿宋" w:eastAsia="仿宋" w:cs="仿宋_GB2312"/>
          <w:b/>
          <w:bCs/>
          <w:color w:val="auto"/>
          <w:sz w:val="21"/>
          <w:szCs w:val="21"/>
          <w:lang w:eastAsia="zh-CN"/>
        </w:rPr>
        <w:t>2.</w:t>
      </w:r>
      <w:r>
        <w:rPr>
          <w:rFonts w:hint="eastAsia" w:ascii="仿宋" w:hAnsi="仿宋" w:eastAsia="仿宋" w:cs="仿宋_GB2312"/>
          <w:b/>
          <w:bCs/>
          <w:color w:val="auto"/>
          <w:sz w:val="21"/>
          <w:szCs w:val="21"/>
        </w:rPr>
        <w:t>采购需求条款按重要性分为三级。</w:t>
      </w:r>
      <w:r>
        <w:rPr>
          <w:rFonts w:hint="eastAsia" w:ascii="仿宋" w:hAnsi="仿宋" w:eastAsia="仿宋" w:cs="仿宋_GB2312"/>
          <w:b/>
          <w:bCs/>
          <w:color w:val="auto"/>
          <w:sz w:val="21"/>
          <w:szCs w:val="21"/>
          <w:lang w:eastAsia="zh-CN"/>
        </w:rPr>
        <w:t>供应商</w:t>
      </w:r>
      <w:r>
        <w:rPr>
          <w:rFonts w:hint="eastAsia" w:ascii="仿宋" w:hAnsi="仿宋" w:eastAsia="仿宋" w:cs="仿宋_GB2312"/>
          <w:b/>
          <w:bCs/>
          <w:color w:val="auto"/>
          <w:sz w:val="21"/>
          <w:szCs w:val="21"/>
        </w:rPr>
        <w:t>须对照各级别要求，在《技术/商务响应偏离表》中逐条作出响应。</w:t>
      </w:r>
    </w:p>
    <w:tbl>
      <w:tblPr>
        <w:tblStyle w:val="20"/>
        <w:tblW w:w="4626" w:type="pct"/>
        <w:jc w:val="center"/>
        <w:tblLayout w:type="autofit"/>
        <w:tblCellMar>
          <w:top w:w="0" w:type="dxa"/>
          <w:left w:w="108" w:type="dxa"/>
          <w:bottom w:w="0" w:type="dxa"/>
          <w:right w:w="108" w:type="dxa"/>
        </w:tblCellMar>
      </w:tblPr>
      <w:tblGrid>
        <w:gridCol w:w="1095"/>
        <w:gridCol w:w="1643"/>
        <w:gridCol w:w="5855"/>
      </w:tblGrid>
      <w:tr w14:paraId="7144CEE4">
        <w:tblPrEx>
          <w:tblCellMar>
            <w:top w:w="0" w:type="dxa"/>
            <w:left w:w="108" w:type="dxa"/>
            <w:bottom w:w="0" w:type="dxa"/>
            <w:right w:w="108" w:type="dxa"/>
          </w:tblCellMar>
        </w:tblPrEx>
        <w:trPr>
          <w:trHeight w:val="359" w:hRule="atLeast"/>
          <w:jc w:val="center"/>
        </w:trPr>
        <w:tc>
          <w:tcPr>
            <w:tcW w:w="637"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FDAAD2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标识符号</w:t>
            </w:r>
          </w:p>
        </w:tc>
        <w:tc>
          <w:tcPr>
            <w:tcW w:w="956" w:type="pct"/>
            <w:tcBorders>
              <w:top w:val="single" w:color="auto" w:sz="4" w:space="0"/>
              <w:left w:val="nil"/>
              <w:bottom w:val="single" w:color="auto" w:sz="4" w:space="0"/>
              <w:right w:val="single" w:color="auto" w:sz="4" w:space="0"/>
            </w:tcBorders>
            <w:shd w:val="clear" w:color="auto" w:fill="F1F1F1" w:themeFill="background1" w:themeFillShade="F2"/>
            <w:vAlign w:val="center"/>
          </w:tcPr>
          <w:p w14:paraId="053E846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条款等级</w:t>
            </w:r>
          </w:p>
        </w:tc>
        <w:tc>
          <w:tcPr>
            <w:tcW w:w="3406" w:type="pct"/>
            <w:tcBorders>
              <w:top w:val="single" w:color="auto" w:sz="4" w:space="0"/>
              <w:left w:val="nil"/>
              <w:bottom w:val="single" w:color="auto" w:sz="4" w:space="0"/>
              <w:right w:val="single" w:color="auto" w:sz="4" w:space="0"/>
            </w:tcBorders>
            <w:shd w:val="clear" w:color="auto" w:fill="F1F1F1" w:themeFill="background1" w:themeFillShade="F2"/>
            <w:vAlign w:val="center"/>
          </w:tcPr>
          <w:p w14:paraId="75303B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响应要求</w:t>
            </w:r>
          </w:p>
        </w:tc>
      </w:tr>
      <w:tr w14:paraId="62AC41AA">
        <w:tblPrEx>
          <w:tblCellMar>
            <w:top w:w="0" w:type="dxa"/>
            <w:left w:w="108" w:type="dxa"/>
            <w:bottom w:w="0" w:type="dxa"/>
            <w:right w:w="108" w:type="dxa"/>
          </w:tblCellMar>
        </w:tblPrEx>
        <w:trPr>
          <w:trHeight w:val="470" w:hRule="atLeast"/>
          <w:jc w:val="center"/>
        </w:trPr>
        <w:tc>
          <w:tcPr>
            <w:tcW w:w="637" w:type="pct"/>
            <w:tcBorders>
              <w:top w:val="nil"/>
              <w:left w:val="single" w:color="auto" w:sz="4" w:space="0"/>
              <w:bottom w:val="single" w:color="auto" w:sz="4" w:space="0"/>
              <w:right w:val="single" w:color="auto" w:sz="4" w:space="0"/>
            </w:tcBorders>
            <w:vAlign w:val="center"/>
          </w:tcPr>
          <w:p w14:paraId="5C24501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bCs/>
                <w:color w:val="auto"/>
                <w:sz w:val="21"/>
                <w:szCs w:val="21"/>
                <w:highlight w:val="yellow"/>
              </w:rPr>
            </w:pPr>
            <w:r>
              <w:rPr>
                <w:rFonts w:hint="eastAsia" w:ascii="仿宋" w:hAnsi="仿宋" w:eastAsia="仿宋" w:cs="仿宋"/>
                <w:b/>
                <w:bCs/>
                <w:color w:val="auto"/>
                <w:sz w:val="21"/>
                <w:szCs w:val="21"/>
                <w:highlight w:val="yellow"/>
              </w:rPr>
              <w:t>★</w:t>
            </w:r>
          </w:p>
        </w:tc>
        <w:tc>
          <w:tcPr>
            <w:tcW w:w="956" w:type="pct"/>
            <w:tcBorders>
              <w:top w:val="single" w:color="auto" w:sz="4" w:space="0"/>
              <w:left w:val="single" w:color="auto" w:sz="4" w:space="0"/>
              <w:bottom w:val="single" w:color="auto" w:sz="4" w:space="0"/>
              <w:right w:val="single" w:color="auto" w:sz="4" w:space="0"/>
            </w:tcBorders>
            <w:vAlign w:val="center"/>
          </w:tcPr>
          <w:p w14:paraId="7BF0DB3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bCs/>
                <w:color w:val="auto"/>
                <w:sz w:val="21"/>
                <w:szCs w:val="21"/>
                <w:highlight w:val="yellow"/>
              </w:rPr>
            </w:pPr>
            <w:r>
              <w:rPr>
                <w:rFonts w:hint="eastAsia" w:ascii="仿宋" w:hAnsi="仿宋" w:eastAsia="仿宋" w:cs="仿宋"/>
                <w:b/>
                <w:bCs/>
                <w:color w:val="auto"/>
                <w:sz w:val="21"/>
                <w:szCs w:val="21"/>
                <w:highlight w:val="yellow"/>
              </w:rPr>
              <w:t>实质响应条款</w:t>
            </w:r>
          </w:p>
          <w:p w14:paraId="7B8D14C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bCs/>
                <w:color w:val="auto"/>
                <w:sz w:val="21"/>
                <w:szCs w:val="21"/>
                <w:highlight w:val="yellow"/>
              </w:rPr>
            </w:pPr>
            <w:r>
              <w:rPr>
                <w:rFonts w:hint="eastAsia" w:ascii="仿宋" w:hAnsi="仿宋" w:eastAsia="仿宋" w:cs="仿宋"/>
                <w:b/>
                <w:bCs/>
                <w:color w:val="auto"/>
                <w:sz w:val="21"/>
                <w:szCs w:val="21"/>
                <w:highlight w:val="yellow"/>
              </w:rPr>
              <w:t>（否决项）</w:t>
            </w:r>
          </w:p>
        </w:tc>
        <w:tc>
          <w:tcPr>
            <w:tcW w:w="3406" w:type="pct"/>
            <w:tcBorders>
              <w:top w:val="single" w:color="auto" w:sz="4" w:space="0"/>
              <w:left w:val="single" w:color="auto" w:sz="4" w:space="0"/>
              <w:bottom w:val="single" w:color="auto" w:sz="4" w:space="0"/>
              <w:right w:val="single" w:color="auto" w:sz="4" w:space="0"/>
            </w:tcBorders>
            <w:vAlign w:val="center"/>
          </w:tcPr>
          <w:p w14:paraId="30CCF5A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bCs/>
                <w:color w:val="auto"/>
                <w:sz w:val="21"/>
                <w:szCs w:val="21"/>
                <w:highlight w:val="yellow"/>
              </w:rPr>
            </w:pPr>
            <w:r>
              <w:rPr>
                <w:rFonts w:hint="eastAsia" w:ascii="仿宋" w:hAnsi="仿宋" w:eastAsia="仿宋" w:cs="仿宋"/>
                <w:b/>
                <w:bCs/>
                <w:color w:val="auto"/>
                <w:sz w:val="21"/>
                <w:szCs w:val="21"/>
                <w:highlight w:val="yellow"/>
                <w:lang w:eastAsia="zh-CN"/>
              </w:rPr>
              <w:t>供应商</w:t>
            </w:r>
            <w:r>
              <w:rPr>
                <w:rFonts w:hint="eastAsia" w:ascii="仿宋" w:hAnsi="仿宋" w:eastAsia="仿宋" w:cs="仿宋"/>
                <w:b/>
                <w:bCs/>
                <w:color w:val="auto"/>
                <w:sz w:val="21"/>
                <w:szCs w:val="21"/>
                <w:highlight w:val="yellow"/>
              </w:rPr>
              <w:t>应在</w:t>
            </w:r>
            <w:r>
              <w:rPr>
                <w:rFonts w:hint="eastAsia" w:ascii="仿宋" w:hAnsi="仿宋" w:eastAsia="仿宋" w:cs="仿宋"/>
                <w:b/>
                <w:bCs/>
                <w:color w:val="auto"/>
                <w:sz w:val="21"/>
                <w:szCs w:val="21"/>
                <w:highlight w:val="yellow"/>
                <w:lang w:eastAsia="zh-CN"/>
              </w:rPr>
              <w:t>响应文件</w:t>
            </w:r>
            <w:r>
              <w:rPr>
                <w:rFonts w:hint="eastAsia" w:ascii="仿宋" w:hAnsi="仿宋" w:eastAsia="仿宋" w:cs="仿宋"/>
                <w:b/>
                <w:bCs/>
                <w:color w:val="auto"/>
                <w:sz w:val="21"/>
                <w:szCs w:val="21"/>
                <w:highlight w:val="yellow"/>
              </w:rPr>
              <w:t>中针对相关内容作出响应，如</w:t>
            </w:r>
            <w:r>
              <w:rPr>
                <w:rFonts w:hint="eastAsia" w:ascii="仿宋" w:hAnsi="仿宋" w:eastAsia="仿宋" w:cs="仿宋"/>
                <w:b/>
                <w:bCs/>
                <w:color w:val="auto"/>
                <w:sz w:val="21"/>
                <w:szCs w:val="21"/>
                <w:highlight w:val="yellow"/>
                <w:lang w:eastAsia="zh-CN"/>
              </w:rPr>
              <w:t>采购文件</w:t>
            </w:r>
            <w:r>
              <w:rPr>
                <w:rFonts w:hint="eastAsia" w:ascii="仿宋" w:hAnsi="仿宋" w:eastAsia="仿宋" w:cs="仿宋"/>
                <w:b/>
                <w:bCs/>
                <w:color w:val="auto"/>
                <w:sz w:val="21"/>
                <w:szCs w:val="21"/>
                <w:highlight w:val="yellow"/>
              </w:rPr>
              <w:t>有要求，应按要求提供详实的证明文件或承诺函；负偏离或</w:t>
            </w:r>
            <w:r>
              <w:rPr>
                <w:rFonts w:hint="eastAsia" w:ascii="仿宋" w:hAnsi="仿宋" w:eastAsia="仿宋" w:cs="仿宋"/>
                <w:b/>
                <w:bCs/>
                <w:color w:val="auto"/>
                <w:sz w:val="21"/>
                <w:szCs w:val="21"/>
                <w:highlight w:val="yellow"/>
                <w:lang w:eastAsia="zh-CN"/>
              </w:rPr>
              <w:t>采购文件</w:t>
            </w:r>
            <w:r>
              <w:rPr>
                <w:rFonts w:hint="eastAsia" w:ascii="仿宋" w:hAnsi="仿宋" w:eastAsia="仿宋" w:cs="仿宋"/>
                <w:b/>
                <w:bCs/>
                <w:color w:val="auto"/>
                <w:sz w:val="21"/>
                <w:szCs w:val="21"/>
                <w:highlight w:val="yellow"/>
              </w:rPr>
              <w:t>有要求但未按要求提供证明材料或承诺函的视为不响应。</w:t>
            </w:r>
          </w:p>
        </w:tc>
      </w:tr>
      <w:tr w14:paraId="24301937">
        <w:tblPrEx>
          <w:tblCellMar>
            <w:top w:w="0" w:type="dxa"/>
            <w:left w:w="108" w:type="dxa"/>
            <w:bottom w:w="0" w:type="dxa"/>
            <w:right w:w="108" w:type="dxa"/>
          </w:tblCellMar>
        </w:tblPrEx>
        <w:trPr>
          <w:trHeight w:val="547" w:hRule="atLeast"/>
          <w:jc w:val="center"/>
        </w:trPr>
        <w:tc>
          <w:tcPr>
            <w:tcW w:w="637" w:type="pct"/>
            <w:tcBorders>
              <w:top w:val="nil"/>
              <w:left w:val="single" w:color="auto" w:sz="4" w:space="0"/>
              <w:bottom w:val="single" w:color="auto" w:sz="4" w:space="0"/>
              <w:right w:val="single" w:color="auto" w:sz="4" w:space="0"/>
            </w:tcBorders>
            <w:vAlign w:val="center"/>
          </w:tcPr>
          <w:p w14:paraId="7DFA92C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956" w:type="pct"/>
            <w:tcBorders>
              <w:top w:val="single" w:color="auto" w:sz="4" w:space="0"/>
              <w:left w:val="single" w:color="auto" w:sz="4" w:space="0"/>
              <w:bottom w:val="single" w:color="auto" w:sz="4" w:space="0"/>
              <w:right w:val="single" w:color="auto" w:sz="4" w:space="0"/>
            </w:tcBorders>
            <w:vAlign w:val="center"/>
          </w:tcPr>
          <w:p w14:paraId="289B577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重要条款</w:t>
            </w:r>
          </w:p>
          <w:p w14:paraId="048502E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（评分项）</w:t>
            </w:r>
          </w:p>
        </w:tc>
        <w:tc>
          <w:tcPr>
            <w:tcW w:w="3406" w:type="pct"/>
            <w:tcBorders>
              <w:top w:val="single" w:color="auto" w:sz="4" w:space="0"/>
              <w:left w:val="single" w:color="auto" w:sz="4" w:space="0"/>
              <w:bottom w:val="single" w:color="auto" w:sz="4" w:space="0"/>
              <w:right w:val="single" w:color="auto" w:sz="4" w:space="0"/>
            </w:tcBorders>
            <w:vAlign w:val="center"/>
          </w:tcPr>
          <w:p w14:paraId="6C8860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应在</w:t>
            </w:r>
            <w:r>
              <w:rPr>
                <w:rFonts w:hint="eastAsia" w:ascii="仿宋" w:hAnsi="仿宋" w:eastAsia="仿宋" w:cs="仿宋"/>
                <w:color w:val="auto"/>
                <w:sz w:val="21"/>
                <w:szCs w:val="21"/>
                <w:lang w:eastAsia="zh-CN"/>
              </w:rPr>
              <w:t>响应文件</w:t>
            </w:r>
            <w:r>
              <w:rPr>
                <w:rFonts w:hint="eastAsia" w:ascii="仿宋" w:hAnsi="仿宋" w:eastAsia="仿宋" w:cs="仿宋"/>
                <w:color w:val="auto"/>
                <w:sz w:val="21"/>
                <w:szCs w:val="21"/>
              </w:rPr>
              <w:t>中针对相关内容作出响应，如</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有要求，应按要求提供详实的证明文件。负偏离或</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有要求但未按要求提供证明材料的视为不响应。</w:t>
            </w:r>
          </w:p>
        </w:tc>
      </w:tr>
      <w:tr w14:paraId="3E06E726">
        <w:tblPrEx>
          <w:tblCellMar>
            <w:top w:w="0" w:type="dxa"/>
            <w:left w:w="108" w:type="dxa"/>
            <w:bottom w:w="0" w:type="dxa"/>
            <w:right w:w="108" w:type="dxa"/>
          </w:tblCellMar>
        </w:tblPrEx>
        <w:trPr>
          <w:trHeight w:val="573" w:hRule="atLeast"/>
          <w:jc w:val="center"/>
        </w:trPr>
        <w:tc>
          <w:tcPr>
            <w:tcW w:w="637" w:type="pct"/>
            <w:tcBorders>
              <w:top w:val="nil"/>
              <w:left w:val="single" w:color="auto" w:sz="4" w:space="0"/>
              <w:bottom w:val="single" w:color="auto" w:sz="4" w:space="0"/>
              <w:right w:val="single" w:color="auto" w:sz="4" w:space="0"/>
            </w:tcBorders>
            <w:vAlign w:val="center"/>
          </w:tcPr>
          <w:p w14:paraId="7987FF7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无</w:t>
            </w:r>
          </w:p>
        </w:tc>
        <w:tc>
          <w:tcPr>
            <w:tcW w:w="956" w:type="pct"/>
            <w:tcBorders>
              <w:top w:val="single" w:color="auto" w:sz="4" w:space="0"/>
              <w:left w:val="single" w:color="auto" w:sz="4" w:space="0"/>
              <w:bottom w:val="single" w:color="auto" w:sz="4" w:space="0"/>
              <w:right w:val="single" w:color="auto" w:sz="4" w:space="0"/>
            </w:tcBorders>
            <w:vAlign w:val="center"/>
          </w:tcPr>
          <w:p w14:paraId="75EFA25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一般条款（评分项/承诺响应）</w:t>
            </w:r>
          </w:p>
        </w:tc>
        <w:tc>
          <w:tcPr>
            <w:tcW w:w="3406" w:type="pct"/>
            <w:tcBorders>
              <w:top w:val="single" w:color="auto" w:sz="4" w:space="0"/>
              <w:left w:val="single" w:color="auto" w:sz="4" w:space="0"/>
              <w:bottom w:val="single" w:color="auto" w:sz="4" w:space="0"/>
              <w:right w:val="single" w:color="auto" w:sz="4" w:space="0"/>
            </w:tcBorders>
            <w:vAlign w:val="center"/>
          </w:tcPr>
          <w:p w14:paraId="0AF5E1D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应在</w:t>
            </w:r>
            <w:r>
              <w:rPr>
                <w:rFonts w:hint="eastAsia" w:ascii="仿宋" w:hAnsi="仿宋" w:eastAsia="仿宋" w:cs="仿宋"/>
                <w:color w:val="auto"/>
                <w:sz w:val="21"/>
                <w:szCs w:val="21"/>
                <w:lang w:eastAsia="zh-CN"/>
              </w:rPr>
              <w:t>响应文件</w:t>
            </w:r>
            <w:r>
              <w:rPr>
                <w:rFonts w:hint="eastAsia" w:ascii="仿宋" w:hAnsi="仿宋" w:eastAsia="仿宋" w:cs="仿宋"/>
                <w:color w:val="auto"/>
                <w:sz w:val="21"/>
                <w:szCs w:val="21"/>
              </w:rPr>
              <w:t>中针对相关内容作出响应，阐述其响应内容、配置或理解。如</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有要求，应按要求提供详实的证明文件。负偏离、直接复制粘贴采购需求原文或</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有要求但未按要求提供证明材料可能被视为不响应。</w:t>
            </w:r>
          </w:p>
        </w:tc>
      </w:tr>
    </w:tbl>
    <w:p w14:paraId="38084285">
      <w:pPr>
        <w:pStyle w:val="7"/>
        <w:rPr>
          <w:rFonts w:ascii="仿宋" w:hAnsi="仿宋" w:eastAsia="仿宋"/>
          <w:color w:val="auto"/>
        </w:rPr>
      </w:pPr>
    </w:p>
    <w:p w14:paraId="408C6511">
      <w:pPr>
        <w:pStyle w:val="7"/>
        <w:adjustRightInd w:val="0"/>
        <w:snapToGrid w:val="0"/>
        <w:spacing w:after="0" w:line="360" w:lineRule="auto"/>
        <w:ind w:firstLine="422" w:firstLineChars="200"/>
        <w:rPr>
          <w:rFonts w:hint="eastAsia" w:ascii="仿宋" w:hAnsi="仿宋" w:eastAsia="仿宋"/>
          <w:b/>
          <w:color w:val="auto"/>
          <w:lang w:eastAsia="zh-CN"/>
        </w:rPr>
      </w:pPr>
      <w:r>
        <w:rPr>
          <w:rFonts w:hint="eastAsia" w:ascii="仿宋" w:hAnsi="仿宋" w:eastAsia="仿宋"/>
          <w:b/>
          <w:color w:val="auto"/>
        </w:rPr>
        <w:t>一、</w:t>
      </w:r>
      <w:r>
        <w:rPr>
          <w:rFonts w:hint="eastAsia" w:ascii="仿宋" w:hAnsi="仿宋" w:eastAsia="仿宋"/>
          <w:b/>
          <w:color w:val="auto"/>
          <w:lang w:val="en-US" w:eastAsia="zh-CN"/>
        </w:rPr>
        <w:t>采购清单</w:t>
      </w:r>
    </w:p>
    <w:tbl>
      <w:tblPr>
        <w:tblStyle w:val="20"/>
        <w:tblW w:w="7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2844"/>
        <w:gridCol w:w="990"/>
        <w:gridCol w:w="1004"/>
        <w:gridCol w:w="1861"/>
      </w:tblGrid>
      <w:tr w14:paraId="71DB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blHeader/>
          <w:jc w:val="center"/>
        </w:trPr>
        <w:tc>
          <w:tcPr>
            <w:tcW w:w="736" w:type="dxa"/>
            <w:vAlign w:val="center"/>
          </w:tcPr>
          <w:p w14:paraId="4A25F7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宋体"/>
                <w:b/>
                <w:color w:val="auto"/>
                <w:szCs w:val="21"/>
                <w:lang w:val="en-US" w:eastAsia="zh-CN"/>
              </w:rPr>
            </w:pPr>
            <w:r>
              <w:rPr>
                <w:rFonts w:hint="eastAsia" w:ascii="仿宋" w:hAnsi="仿宋" w:eastAsia="仿宋" w:cs="宋体"/>
                <w:b/>
                <w:color w:val="auto"/>
                <w:szCs w:val="21"/>
                <w:lang w:val="en-US" w:eastAsia="zh-CN"/>
              </w:rPr>
              <w:t>序号</w:t>
            </w:r>
          </w:p>
        </w:tc>
        <w:tc>
          <w:tcPr>
            <w:tcW w:w="2844" w:type="dxa"/>
            <w:vAlign w:val="center"/>
          </w:tcPr>
          <w:p w14:paraId="5B5E92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宋体"/>
                <w:b/>
                <w:color w:val="auto"/>
                <w:szCs w:val="21"/>
              </w:rPr>
            </w:pPr>
            <w:r>
              <w:rPr>
                <w:rFonts w:hint="eastAsia" w:ascii="仿宋" w:hAnsi="仿宋" w:eastAsia="仿宋" w:cs="宋体"/>
                <w:b/>
                <w:color w:val="auto"/>
                <w:szCs w:val="21"/>
              </w:rPr>
              <w:t>设备名称</w:t>
            </w:r>
          </w:p>
        </w:tc>
        <w:tc>
          <w:tcPr>
            <w:tcW w:w="990" w:type="dxa"/>
            <w:vAlign w:val="center"/>
          </w:tcPr>
          <w:p w14:paraId="5EE244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宋体"/>
                <w:b/>
                <w:color w:val="auto"/>
                <w:szCs w:val="21"/>
                <w:lang w:eastAsia="zh-CN"/>
              </w:rPr>
            </w:pPr>
            <w:r>
              <w:rPr>
                <w:rFonts w:hint="eastAsia" w:ascii="仿宋" w:hAnsi="仿宋" w:eastAsia="仿宋" w:cs="宋体"/>
                <w:b/>
                <w:color w:val="auto"/>
                <w:szCs w:val="21"/>
                <w:lang w:val="en-US" w:eastAsia="zh-CN"/>
              </w:rPr>
              <w:t>单位</w:t>
            </w:r>
          </w:p>
        </w:tc>
        <w:tc>
          <w:tcPr>
            <w:tcW w:w="1004" w:type="dxa"/>
            <w:vAlign w:val="center"/>
          </w:tcPr>
          <w:p w14:paraId="3A93B4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宋体"/>
                <w:b/>
                <w:color w:val="auto"/>
                <w:szCs w:val="21"/>
                <w:lang w:eastAsia="zh-CN"/>
              </w:rPr>
            </w:pPr>
            <w:r>
              <w:rPr>
                <w:rFonts w:hint="eastAsia" w:ascii="仿宋" w:hAnsi="仿宋" w:eastAsia="仿宋" w:cs="宋体"/>
                <w:b/>
                <w:color w:val="auto"/>
                <w:szCs w:val="21"/>
                <w:lang w:val="en-US" w:eastAsia="zh-CN"/>
              </w:rPr>
              <w:t>数量</w:t>
            </w:r>
          </w:p>
        </w:tc>
        <w:tc>
          <w:tcPr>
            <w:tcW w:w="1861" w:type="dxa"/>
            <w:vAlign w:val="center"/>
          </w:tcPr>
          <w:p w14:paraId="2380E7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宋体"/>
                <w:b/>
                <w:color w:val="auto"/>
                <w:szCs w:val="21"/>
              </w:rPr>
            </w:pPr>
            <w:r>
              <w:rPr>
                <w:rFonts w:hint="eastAsia" w:ascii="仿宋" w:hAnsi="仿宋" w:eastAsia="仿宋" w:cs="宋体"/>
                <w:b/>
                <w:color w:val="auto"/>
                <w:szCs w:val="21"/>
              </w:rPr>
              <w:t>备注</w:t>
            </w:r>
          </w:p>
        </w:tc>
      </w:tr>
      <w:tr w14:paraId="7E86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36" w:type="dxa"/>
            <w:vAlign w:val="center"/>
          </w:tcPr>
          <w:p w14:paraId="2C1B1F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 w:hAnsi="仿宋" w:eastAsia="仿宋" w:cs="宋体"/>
                <w:color w:val="auto"/>
                <w:szCs w:val="21"/>
                <w:lang w:val="en-US" w:eastAsia="zh-CN"/>
              </w:rPr>
            </w:pPr>
            <w:r>
              <w:rPr>
                <w:rFonts w:hint="eastAsia" w:ascii="仿宋" w:hAnsi="仿宋" w:eastAsia="仿宋" w:cs="宋体"/>
                <w:color w:val="auto"/>
                <w:szCs w:val="21"/>
                <w:lang w:val="en-US" w:eastAsia="zh-CN"/>
              </w:rPr>
              <w:t>1</w:t>
            </w:r>
          </w:p>
        </w:tc>
        <w:tc>
          <w:tcPr>
            <w:tcW w:w="2844" w:type="dxa"/>
            <w:vAlign w:val="center"/>
          </w:tcPr>
          <w:p w14:paraId="69AB88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宋体"/>
                <w:color w:val="auto"/>
                <w:szCs w:val="21"/>
                <w:lang w:eastAsia="zh-CN"/>
              </w:rPr>
            </w:pPr>
            <w:r>
              <w:rPr>
                <w:rFonts w:hint="eastAsia" w:ascii="仿宋" w:hAnsi="仿宋" w:eastAsia="仿宋" w:cs="宋体"/>
                <w:color w:val="auto"/>
                <w:szCs w:val="21"/>
                <w:lang w:val="en-US" w:eastAsia="zh-CN"/>
              </w:rPr>
              <w:t>可透射线碳纤维头架</w:t>
            </w:r>
          </w:p>
        </w:tc>
        <w:tc>
          <w:tcPr>
            <w:tcW w:w="990" w:type="dxa"/>
            <w:vAlign w:val="center"/>
          </w:tcPr>
          <w:p w14:paraId="5C8560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 w:hAnsi="仿宋" w:eastAsia="仿宋" w:cs="宋体"/>
                <w:color w:val="auto"/>
                <w:szCs w:val="21"/>
                <w:lang w:val="en-US" w:eastAsia="zh-CN"/>
              </w:rPr>
            </w:pPr>
            <w:r>
              <w:rPr>
                <w:rFonts w:hint="eastAsia" w:ascii="仿宋" w:hAnsi="仿宋" w:eastAsia="仿宋" w:cs="宋体"/>
                <w:color w:val="auto"/>
                <w:szCs w:val="21"/>
                <w:lang w:val="en-US" w:eastAsia="zh-CN"/>
              </w:rPr>
              <w:t>套</w:t>
            </w:r>
          </w:p>
        </w:tc>
        <w:tc>
          <w:tcPr>
            <w:tcW w:w="1004" w:type="dxa"/>
            <w:vAlign w:val="center"/>
          </w:tcPr>
          <w:p w14:paraId="1A0C26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宋体"/>
                <w:color w:val="auto"/>
                <w:szCs w:val="21"/>
              </w:rPr>
            </w:pPr>
            <w:r>
              <w:rPr>
                <w:rFonts w:hint="eastAsia" w:ascii="仿宋" w:hAnsi="仿宋" w:eastAsia="仿宋" w:cs="宋体"/>
                <w:color w:val="auto"/>
                <w:szCs w:val="21"/>
                <w:lang w:val="en-US" w:eastAsia="zh-CN"/>
              </w:rPr>
              <w:t>1</w:t>
            </w:r>
          </w:p>
        </w:tc>
        <w:tc>
          <w:tcPr>
            <w:tcW w:w="1861" w:type="dxa"/>
            <w:vAlign w:val="center"/>
          </w:tcPr>
          <w:p w14:paraId="678790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 w:hAnsi="仿宋" w:eastAsia="仿宋" w:cs="宋体"/>
                <w:color w:val="auto"/>
                <w:szCs w:val="21"/>
                <w:lang w:val="en-US" w:eastAsia="zh-CN"/>
              </w:rPr>
            </w:pPr>
          </w:p>
        </w:tc>
      </w:tr>
    </w:tbl>
    <w:p w14:paraId="1ED7536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p>
    <w:p w14:paraId="2B2DD76A">
      <w:pPr>
        <w:pStyle w:val="7"/>
        <w:adjustRightInd w:val="0"/>
        <w:snapToGrid w:val="0"/>
        <w:spacing w:after="0" w:line="360" w:lineRule="auto"/>
        <w:ind w:firstLine="422" w:firstLineChars="200"/>
        <w:rPr>
          <w:rFonts w:hint="eastAsia" w:ascii="仿宋" w:hAnsi="仿宋" w:eastAsia="仿宋"/>
          <w:b/>
          <w:color w:val="auto"/>
          <w:lang w:val="zh-CN" w:eastAsia="zh-CN"/>
        </w:rPr>
      </w:pPr>
      <w:bookmarkStart w:id="203" w:name="_Toc181712889"/>
      <w:r>
        <w:rPr>
          <w:rFonts w:hint="eastAsia" w:ascii="仿宋" w:hAnsi="仿宋" w:eastAsia="仿宋"/>
          <w:b/>
          <w:color w:val="auto"/>
          <w:lang w:val="zh-CN" w:eastAsia="zh-CN"/>
        </w:rPr>
        <w:t>二、技术参数（</w:t>
      </w:r>
      <w:r>
        <w:rPr>
          <w:rFonts w:hint="eastAsia" w:ascii="仿宋" w:hAnsi="仿宋" w:eastAsia="仿宋"/>
          <w:b/>
          <w:color w:val="auto"/>
          <w:lang w:eastAsia="zh-CN"/>
        </w:rPr>
        <w:t>应等于或优于下列要求</w:t>
      </w:r>
      <w:r>
        <w:rPr>
          <w:rFonts w:hint="eastAsia" w:ascii="仿宋" w:hAnsi="仿宋" w:eastAsia="仿宋"/>
          <w:b/>
          <w:color w:val="auto"/>
          <w:lang w:val="zh-CN" w:eastAsia="zh-CN"/>
        </w:rPr>
        <w:t>）</w:t>
      </w:r>
      <w:bookmarkEnd w:id="203"/>
    </w:p>
    <w:p w14:paraId="0E573BF5">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仿宋" w:hAnsi="仿宋" w:eastAsia="仿宋" w:cs="仿宋_GB2312"/>
          <w:color w:val="auto"/>
          <w:sz w:val="21"/>
          <w:szCs w:val="21"/>
          <w:lang w:val="zh-CN"/>
        </w:rPr>
        <w:t>1.手术头架主体材料是碳纤维复合材料</w:t>
      </w:r>
      <w:r>
        <w:rPr>
          <w:rFonts w:hint="eastAsia" w:ascii="仿宋" w:hAnsi="仿宋" w:eastAsia="仿宋" w:cs="仿宋_GB2312"/>
          <w:color w:val="auto"/>
          <w:sz w:val="21"/>
          <w:szCs w:val="21"/>
          <w:highlight w:val="none"/>
          <w:lang w:val="zh-CN"/>
        </w:rPr>
        <w:t>，碳纤维主体重量</w:t>
      </w:r>
      <w:r>
        <w:rPr>
          <w:rFonts w:hint="eastAsia" w:ascii="仿宋" w:hAnsi="仿宋" w:eastAsia="仿宋" w:cs="仿宋_GB2312"/>
          <w:color w:val="auto"/>
          <w:sz w:val="21"/>
          <w:szCs w:val="21"/>
          <w:highlight w:val="none"/>
          <w:lang w:val="en-US" w:eastAsia="zh-CN"/>
        </w:rPr>
        <w:t>≤</w:t>
      </w:r>
      <w:r>
        <w:rPr>
          <w:rFonts w:hint="eastAsia" w:ascii="仿宋" w:hAnsi="仿宋" w:eastAsia="仿宋" w:cs="仿宋_GB2312"/>
          <w:color w:val="auto"/>
          <w:sz w:val="21"/>
          <w:szCs w:val="21"/>
          <w:highlight w:val="none"/>
          <w:lang w:val="zh-CN"/>
        </w:rPr>
        <w:t>6kg。</w:t>
      </w:r>
      <w:r>
        <w:rPr>
          <w:rFonts w:hint="eastAsia" w:ascii="仿宋" w:hAnsi="仿宋" w:eastAsia="仿宋" w:cs="仿宋_GB2312"/>
          <w:color w:val="auto"/>
          <w:sz w:val="21"/>
          <w:szCs w:val="21"/>
          <w:highlight w:val="none"/>
          <w:lang w:val="en-US" w:eastAsia="zh-CN"/>
        </w:rPr>
        <w:t>可</w:t>
      </w:r>
      <w:r>
        <w:rPr>
          <w:rFonts w:hint="eastAsia" w:ascii="仿宋" w:hAnsi="仿宋" w:eastAsia="仿宋" w:cs="仿宋_GB2312"/>
          <w:color w:val="auto"/>
          <w:sz w:val="21"/>
          <w:szCs w:val="21"/>
          <w:lang w:val="zh-CN"/>
        </w:rPr>
        <w:t>适用于神经外科、脊柱外科显微等手术头部固定，同时可在X射线和透视扫描时产生较小伪影。</w:t>
      </w:r>
    </w:p>
    <w:p w14:paraId="1209C4CC">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仿宋" w:hAnsi="仿宋" w:eastAsia="仿宋" w:cs="仿宋_GB2312"/>
          <w:color w:val="auto"/>
          <w:sz w:val="21"/>
          <w:szCs w:val="21"/>
          <w:lang w:val="zh-CN"/>
        </w:rPr>
        <w:t>2.头夹由主夹和副夹组成，底侧带有较深的棘齿设计，当头夹收紧时较深的棘齿保证咬合紧密，不会出现滑脱风险。</w:t>
      </w:r>
    </w:p>
    <w:p w14:paraId="15E3B6C6">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仿宋" w:hAnsi="仿宋" w:eastAsia="仿宋" w:cs="仿宋_GB2312"/>
          <w:color w:val="auto"/>
          <w:sz w:val="21"/>
          <w:szCs w:val="21"/>
          <w:lang w:val="zh-CN"/>
        </w:rPr>
        <w:t>3.头夹重量不超过1.</w:t>
      </w:r>
      <w:r>
        <w:rPr>
          <w:rFonts w:hint="default" w:ascii="仿宋" w:hAnsi="仿宋" w:eastAsia="仿宋" w:cs="仿宋_GB2312"/>
          <w:color w:val="auto"/>
          <w:sz w:val="21"/>
          <w:szCs w:val="21"/>
          <w:lang w:val="en-US"/>
        </w:rPr>
        <w:t>7</w:t>
      </w:r>
      <w:r>
        <w:rPr>
          <w:rFonts w:hint="eastAsia" w:ascii="仿宋" w:hAnsi="仿宋" w:eastAsia="仿宋" w:cs="仿宋_GB2312"/>
          <w:color w:val="auto"/>
          <w:sz w:val="21"/>
          <w:szCs w:val="21"/>
          <w:lang w:val="zh-CN"/>
        </w:rPr>
        <w:t>kg。头夹可固定颅骨宽度节范围</w:t>
      </w:r>
      <w:r>
        <w:rPr>
          <w:rFonts w:hint="eastAsia" w:ascii="仿宋" w:hAnsi="仿宋" w:eastAsia="仿宋" w:cs="仿宋_GB2312"/>
          <w:color w:val="auto"/>
          <w:sz w:val="21"/>
          <w:szCs w:val="21"/>
          <w:lang w:val="en-US" w:eastAsia="zh-CN"/>
        </w:rPr>
        <w:t>至少涵盖</w:t>
      </w:r>
      <w:r>
        <w:rPr>
          <w:rFonts w:hint="eastAsia" w:ascii="仿宋" w:hAnsi="仿宋" w:eastAsia="仿宋" w:cs="仿宋_GB2312"/>
          <w:color w:val="auto"/>
          <w:sz w:val="21"/>
          <w:szCs w:val="21"/>
          <w:lang w:val="zh-CN"/>
        </w:rPr>
        <w:t>80mm—260mm。头夹的工作深度不低于140mm。</w:t>
      </w:r>
    </w:p>
    <w:p w14:paraId="69AE8DBB">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宋体" w:hAnsi="宋体" w:eastAsia="宋体" w:cs="宋体"/>
          <w:color w:val="auto"/>
          <w:sz w:val="24"/>
          <w:lang w:val="en-US" w:eastAsia="zh-CN"/>
        </w:rPr>
        <w:t>▲</w:t>
      </w:r>
      <w:r>
        <w:rPr>
          <w:rFonts w:hint="eastAsia" w:ascii="仿宋" w:hAnsi="仿宋" w:eastAsia="仿宋" w:cs="仿宋_GB2312"/>
          <w:color w:val="auto"/>
          <w:sz w:val="21"/>
          <w:szCs w:val="21"/>
          <w:lang w:val="zh-CN"/>
        </w:rPr>
        <w:t>4.头夹具有单钉加压装置，具有压力刻度指示（牛N/磅lbs）。</w:t>
      </w:r>
    </w:p>
    <w:p w14:paraId="33DF0AC2">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仿宋" w:hAnsi="仿宋" w:eastAsia="仿宋" w:cs="仿宋_GB2312"/>
          <w:color w:val="auto"/>
          <w:sz w:val="21"/>
          <w:szCs w:val="21"/>
          <w:lang w:val="zh-CN"/>
        </w:rPr>
        <w:t>5.头夹两侧分别内置导航适配器接口，可安装导航设备的定位参考架。</w:t>
      </w:r>
    </w:p>
    <w:p w14:paraId="1234B2B8">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仿宋" w:hAnsi="仿宋" w:eastAsia="仿宋" w:cs="仿宋_GB2312"/>
          <w:color w:val="auto"/>
          <w:sz w:val="21"/>
          <w:szCs w:val="21"/>
          <w:lang w:val="zh-CN"/>
        </w:rPr>
        <w:t>6.头夹两侧带有快速固定导轨，导轨宽度不小于25mm，深度不小于4mm，。</w:t>
      </w:r>
    </w:p>
    <w:p w14:paraId="0C6D3D5E">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仿宋" w:hAnsi="仿宋" w:eastAsia="仿宋" w:cs="仿宋_GB2312"/>
          <w:color w:val="auto"/>
          <w:sz w:val="21"/>
          <w:szCs w:val="21"/>
          <w:highlight w:val="none"/>
          <w:lang w:val="zh-CN"/>
        </w:rPr>
        <w:t>7.通用万向轴重量0.5kg±10%‌，两端</w:t>
      </w:r>
      <w:r>
        <w:rPr>
          <w:rFonts w:hint="eastAsia" w:ascii="仿宋" w:hAnsi="仿宋" w:eastAsia="仿宋" w:cs="仿宋_GB2312"/>
          <w:color w:val="auto"/>
          <w:sz w:val="21"/>
          <w:szCs w:val="21"/>
          <w:lang w:val="zh-CN"/>
        </w:rPr>
        <w:t>均有圆形带棘齿接口，且上下连接处可360°旋转。</w:t>
      </w:r>
    </w:p>
    <w:p w14:paraId="749622C7">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宋体" w:hAnsi="宋体" w:eastAsia="宋体" w:cs="宋体"/>
          <w:color w:val="auto"/>
          <w:sz w:val="24"/>
          <w:lang w:val="en-US" w:eastAsia="zh-CN"/>
        </w:rPr>
        <w:t>▲</w:t>
      </w:r>
      <w:r>
        <w:rPr>
          <w:rFonts w:hint="eastAsia" w:ascii="仿宋" w:hAnsi="仿宋" w:eastAsia="仿宋" w:cs="仿宋_GB2312"/>
          <w:color w:val="auto"/>
          <w:sz w:val="21"/>
          <w:szCs w:val="21"/>
          <w:lang w:val="zh-CN"/>
        </w:rPr>
        <w:t>8.配备与DSA碳纤维床板头端专用接口适配的底座转接器，转接器采用全碳纤维材质制成，不含有金属材质。</w:t>
      </w:r>
    </w:p>
    <w:p w14:paraId="1FA1A837">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宋体" w:hAnsi="宋体" w:eastAsia="宋体" w:cs="宋体"/>
          <w:color w:val="auto"/>
          <w:sz w:val="24"/>
          <w:lang w:val="en-US" w:eastAsia="zh-CN"/>
        </w:rPr>
        <w:t>▲</w:t>
      </w:r>
      <w:r>
        <w:rPr>
          <w:rFonts w:hint="eastAsia" w:ascii="仿宋" w:hAnsi="仿宋" w:eastAsia="仿宋" w:cs="仿宋_GB2312"/>
          <w:color w:val="auto"/>
          <w:sz w:val="21"/>
          <w:szCs w:val="21"/>
          <w:lang w:val="zh-CN"/>
        </w:rPr>
        <w:t>9.头钉钉头采用钛合金材料。头钉钉座使用PEEK材料，可透视，伪影少。</w:t>
      </w:r>
    </w:p>
    <w:p w14:paraId="0B7B2D9F">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仿宋" w:hAnsi="仿宋" w:eastAsia="仿宋" w:cs="仿宋_GB2312"/>
          <w:color w:val="auto"/>
          <w:sz w:val="21"/>
          <w:szCs w:val="21"/>
          <w:lang w:val="zh-CN"/>
        </w:rPr>
      </w:pPr>
      <w:r>
        <w:rPr>
          <w:rFonts w:hint="eastAsia" w:ascii="仿宋" w:hAnsi="仿宋" w:eastAsia="仿宋" w:cs="仿宋_GB2312"/>
          <w:color w:val="auto"/>
          <w:sz w:val="21"/>
          <w:szCs w:val="21"/>
          <w:lang w:val="zh-CN"/>
        </w:rPr>
        <w:t>10.配有成人及儿童用两种头钉各6枚。头钉可重复使用，钉座尾部带防滑橡胶圈且可拆卸更换。</w:t>
      </w:r>
    </w:p>
    <w:p w14:paraId="747EDDF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_GB2312"/>
          <w:color w:val="auto"/>
          <w:sz w:val="21"/>
          <w:szCs w:val="21"/>
          <w:lang w:val="zh-CN"/>
        </w:rPr>
      </w:pPr>
    </w:p>
    <w:p w14:paraId="35516A8A">
      <w:pPr>
        <w:pStyle w:val="7"/>
        <w:adjustRightInd w:val="0"/>
        <w:snapToGrid w:val="0"/>
        <w:spacing w:after="0" w:line="360" w:lineRule="auto"/>
        <w:ind w:firstLine="422" w:firstLineChars="200"/>
        <w:rPr>
          <w:rFonts w:hint="eastAsia" w:ascii="仿宋" w:hAnsi="仿宋" w:eastAsia="仿宋" w:cs="Times New Roman"/>
          <w:b/>
          <w:color w:val="auto"/>
          <w:lang w:eastAsia="zh-CN"/>
        </w:rPr>
      </w:pPr>
      <w:r>
        <w:rPr>
          <w:rFonts w:hint="eastAsia" w:ascii="仿宋" w:hAnsi="仿宋" w:eastAsia="仿宋" w:cs="仿宋"/>
          <w:b/>
          <w:bCs/>
          <w:color w:val="auto"/>
          <w:sz w:val="21"/>
          <w:szCs w:val="21"/>
          <w:highlight w:val="yellow"/>
        </w:rPr>
        <w:t>★</w:t>
      </w:r>
      <w:r>
        <w:rPr>
          <w:rFonts w:hint="eastAsia" w:ascii="仿宋" w:hAnsi="仿宋" w:eastAsia="仿宋" w:cs="Times New Roman"/>
          <w:b/>
          <w:color w:val="auto"/>
          <w:highlight w:val="yellow"/>
          <w:lang w:val="en-US" w:eastAsia="zh-CN"/>
        </w:rPr>
        <w:t>三、商务</w:t>
      </w:r>
      <w:r>
        <w:rPr>
          <w:rFonts w:hint="eastAsia" w:ascii="仿宋" w:hAnsi="仿宋" w:eastAsia="仿宋" w:cs="Times New Roman"/>
          <w:b/>
          <w:color w:val="auto"/>
          <w:highlight w:val="yellow"/>
          <w:lang w:eastAsia="zh-CN"/>
        </w:rPr>
        <w:t>要求</w:t>
      </w:r>
    </w:p>
    <w:p w14:paraId="71D6C27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1.供应商应保证其提供的货物是全新的，未使用过的；符合合同规定的质量、规格、性能，并按照相关国际、中国国家及行业标准检验的合格货物。</w:t>
      </w:r>
    </w:p>
    <w:p w14:paraId="19EE42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2.供应商应派技术人员对所投货物进行安装调试（如需要），该费用包含在投标报价内。</w:t>
      </w:r>
    </w:p>
    <w:p w14:paraId="596A6AD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2.1货物到达使用场地后，供应商接到采购人通知后按要求到达现场，供应商负责机房的设计，应在采购人医技人员在场的情况下开箱清点货物，组织安装调试，并承担由此发生的一切费用。</w:t>
      </w:r>
    </w:p>
    <w:p w14:paraId="39B4A26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2.2供应商应</w:t>
      </w:r>
      <w:r>
        <w:rPr>
          <w:rFonts w:hint="eastAsia" w:ascii="仿宋" w:hAnsi="仿宋" w:eastAsia="仿宋" w:cs="宋体"/>
          <w:color w:val="auto"/>
          <w:szCs w:val="21"/>
          <w:lang w:eastAsia="zh-CN"/>
        </w:rPr>
        <w:t>按</w:t>
      </w:r>
      <w:r>
        <w:rPr>
          <w:rFonts w:hint="eastAsia" w:ascii="仿宋" w:hAnsi="仿宋" w:eastAsia="仿宋" w:cs="宋体"/>
          <w:color w:val="auto"/>
          <w:szCs w:val="21"/>
          <w:lang w:val="zh-CN" w:eastAsia="zh-CN"/>
        </w:rPr>
        <w:t>验收标准、验收手册和验收报告</w:t>
      </w:r>
      <w:r>
        <w:rPr>
          <w:rFonts w:hint="eastAsia" w:ascii="仿宋" w:hAnsi="仿宋" w:eastAsia="仿宋" w:cs="宋体"/>
          <w:color w:val="auto"/>
          <w:szCs w:val="21"/>
          <w:lang w:eastAsia="zh-CN"/>
        </w:rPr>
        <w:t>配合验收</w:t>
      </w:r>
      <w:r>
        <w:rPr>
          <w:rFonts w:hint="eastAsia" w:ascii="仿宋" w:hAnsi="仿宋" w:eastAsia="仿宋" w:cs="宋体"/>
          <w:color w:val="auto"/>
          <w:szCs w:val="21"/>
          <w:lang w:val="zh-CN" w:eastAsia="zh-CN"/>
        </w:rPr>
        <w:t>，采购人有权委托中国有资质的单位对货物进行精度校核。</w:t>
      </w:r>
    </w:p>
    <w:p w14:paraId="2EC21B3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3.交货地点及运输方式</w:t>
      </w:r>
    </w:p>
    <w:p w14:paraId="6F1224F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3.1交货地点：</w:t>
      </w:r>
      <w:r>
        <w:rPr>
          <w:rFonts w:hint="eastAsia" w:ascii="仿宋" w:hAnsi="仿宋" w:eastAsia="仿宋" w:cs="宋体"/>
          <w:color w:val="auto"/>
          <w:szCs w:val="21"/>
          <w:lang w:eastAsia="zh-CN"/>
        </w:rPr>
        <w:t>湖北省第三人民医院指定院区。</w:t>
      </w:r>
    </w:p>
    <w:p w14:paraId="515733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3.2运输方式：不限，按一般贸易要求。</w:t>
      </w:r>
    </w:p>
    <w:p w14:paraId="0B7CB32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4.交货</w:t>
      </w:r>
      <w:r>
        <w:rPr>
          <w:rFonts w:hint="eastAsia" w:ascii="仿宋" w:hAnsi="仿宋" w:eastAsia="仿宋" w:cs="宋体"/>
          <w:color w:val="auto"/>
          <w:szCs w:val="21"/>
          <w:lang w:eastAsia="zh-CN"/>
        </w:rPr>
        <w:t>验收</w:t>
      </w:r>
      <w:r>
        <w:rPr>
          <w:rFonts w:hint="eastAsia" w:ascii="仿宋" w:hAnsi="仿宋" w:eastAsia="仿宋" w:cs="宋体"/>
          <w:color w:val="auto"/>
          <w:szCs w:val="21"/>
          <w:lang w:val="zh-CN" w:eastAsia="zh-CN"/>
        </w:rPr>
        <w:t>期：按</w:t>
      </w:r>
      <w:r>
        <w:rPr>
          <w:rFonts w:hint="eastAsia" w:ascii="仿宋" w:hAnsi="仿宋" w:eastAsia="仿宋" w:cs="宋体"/>
          <w:color w:val="auto"/>
          <w:szCs w:val="21"/>
          <w:lang w:val="en-US" w:eastAsia="zh-CN"/>
        </w:rPr>
        <w:t>采购</w:t>
      </w:r>
      <w:r>
        <w:rPr>
          <w:rFonts w:hint="eastAsia" w:ascii="仿宋" w:hAnsi="仿宋" w:eastAsia="仿宋" w:cs="宋体"/>
          <w:color w:val="auto"/>
          <w:szCs w:val="21"/>
          <w:lang w:val="zh-CN" w:eastAsia="zh-CN"/>
        </w:rPr>
        <w:t>文件的规定，允许提前交货。供应商须在响应文件中对交货时间节点、进度安排及交货期的时限做出明确承诺。</w:t>
      </w:r>
    </w:p>
    <w:p w14:paraId="6D1A235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5.付款方式：验收合格后付款30%，验收合格满半年付款60%，验收合格满一年付款10%。</w:t>
      </w:r>
    </w:p>
    <w:p w14:paraId="30E62C3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eastAsia="zh-CN"/>
        </w:rPr>
      </w:pPr>
      <w:r>
        <w:rPr>
          <w:rFonts w:hint="eastAsia" w:ascii="仿宋" w:hAnsi="仿宋" w:eastAsia="仿宋" w:cs="宋体"/>
          <w:color w:val="auto"/>
          <w:szCs w:val="21"/>
          <w:lang w:val="zh-CN" w:eastAsia="zh-CN"/>
        </w:rPr>
        <w:t>6.质保期：按采购文件的规定，允许</w:t>
      </w:r>
      <w:r>
        <w:rPr>
          <w:rFonts w:hint="eastAsia" w:ascii="仿宋" w:hAnsi="仿宋" w:eastAsia="仿宋" w:cs="宋体"/>
          <w:color w:val="auto"/>
          <w:szCs w:val="21"/>
          <w:lang w:eastAsia="zh-CN"/>
        </w:rPr>
        <w:t>延长质保期</w:t>
      </w:r>
      <w:r>
        <w:rPr>
          <w:rFonts w:hint="eastAsia" w:ascii="仿宋" w:hAnsi="仿宋" w:eastAsia="仿宋" w:cs="宋体"/>
          <w:color w:val="auto"/>
          <w:szCs w:val="21"/>
          <w:lang w:val="zh-CN" w:eastAsia="zh-CN"/>
        </w:rPr>
        <w:t>。供应商须在响应文件中对</w:t>
      </w:r>
      <w:r>
        <w:rPr>
          <w:rFonts w:hint="eastAsia" w:ascii="仿宋" w:hAnsi="仿宋" w:eastAsia="仿宋" w:cs="宋体"/>
          <w:color w:val="auto"/>
          <w:szCs w:val="21"/>
          <w:lang w:eastAsia="zh-CN"/>
        </w:rPr>
        <w:t>质保期</w:t>
      </w:r>
      <w:r>
        <w:rPr>
          <w:rFonts w:hint="eastAsia" w:ascii="仿宋" w:hAnsi="仿宋" w:eastAsia="仿宋" w:cs="宋体"/>
          <w:color w:val="auto"/>
          <w:szCs w:val="21"/>
          <w:lang w:val="zh-CN" w:eastAsia="zh-CN"/>
        </w:rPr>
        <w:t>时限做出明确</w:t>
      </w:r>
      <w:r>
        <w:rPr>
          <w:rFonts w:hint="eastAsia" w:ascii="仿宋" w:hAnsi="仿宋" w:eastAsia="仿宋" w:cs="宋体"/>
          <w:color w:val="auto"/>
          <w:szCs w:val="21"/>
          <w:lang w:eastAsia="zh-CN"/>
        </w:rPr>
        <w:t>响应。</w:t>
      </w:r>
    </w:p>
    <w:p w14:paraId="204EFDA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eastAsia="zh-CN"/>
        </w:rPr>
      </w:pPr>
      <w:bookmarkStart w:id="204" w:name="_Toc2027"/>
      <w:bookmarkStart w:id="205" w:name="_Toc14667"/>
    </w:p>
    <w:p w14:paraId="0A1D6CEE">
      <w:pPr>
        <w:pStyle w:val="7"/>
        <w:adjustRightInd w:val="0"/>
        <w:snapToGrid w:val="0"/>
        <w:spacing w:after="0" w:line="360" w:lineRule="auto"/>
        <w:ind w:firstLine="422" w:firstLineChars="200"/>
        <w:rPr>
          <w:rFonts w:hint="eastAsia" w:ascii="仿宋" w:hAnsi="仿宋" w:eastAsia="仿宋" w:cs="Times New Roman"/>
          <w:b/>
          <w:color w:val="auto"/>
          <w:lang w:val="zh-CN" w:eastAsia="zh-CN"/>
        </w:rPr>
      </w:pPr>
      <w:bookmarkStart w:id="206" w:name="_Toc25346"/>
      <w:r>
        <w:rPr>
          <w:rFonts w:hint="eastAsia" w:ascii="仿宋" w:hAnsi="仿宋" w:eastAsia="仿宋" w:cs="Times New Roman"/>
          <w:b/>
          <w:color w:val="auto"/>
          <w:lang w:val="en-US" w:eastAsia="zh-CN"/>
        </w:rPr>
        <w:t>四、</w:t>
      </w:r>
      <w:r>
        <w:rPr>
          <w:rFonts w:hint="eastAsia" w:ascii="仿宋" w:hAnsi="仿宋" w:eastAsia="仿宋" w:cs="Times New Roman"/>
          <w:b/>
          <w:color w:val="auto"/>
          <w:lang w:val="zh-CN" w:eastAsia="zh-CN"/>
        </w:rPr>
        <w:t>其他要求</w:t>
      </w:r>
      <w:bookmarkEnd w:id="204"/>
      <w:bookmarkEnd w:id="205"/>
      <w:bookmarkEnd w:id="206"/>
    </w:p>
    <w:p w14:paraId="721E6F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1.供应商在响应文件中，应提供详细说明按采购文件要求所提供货物的技术指标、质量的资料文件，以及提供实际制造商的生产能力、技术力量及生产装备的资料文件，并且提供投标产品业绩情况。</w:t>
      </w:r>
    </w:p>
    <w:p w14:paraId="0E64F96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2.供应商应在响应文件中对交货安装方案做出明确响应；交货安装的方案至少包含：</w:t>
      </w:r>
      <w:r>
        <w:rPr>
          <w:rFonts w:hint="eastAsia" w:ascii="仿宋" w:hAnsi="仿宋" w:eastAsia="仿宋" w:cs="宋体"/>
          <w:color w:val="auto"/>
          <w:szCs w:val="21"/>
          <w:lang w:eastAsia="zh-CN"/>
        </w:rPr>
        <w:t>交货安装流程规划：需明确交货安装流程、交货物流安排、交货质量保障措施等内容；</w:t>
      </w:r>
      <w:r>
        <w:rPr>
          <w:rFonts w:hint="eastAsia" w:ascii="仿宋" w:hAnsi="仿宋" w:eastAsia="仿宋" w:cs="宋体"/>
          <w:color w:val="auto"/>
          <w:szCs w:val="21"/>
          <w:lang w:val="zh-CN" w:eastAsia="zh-CN"/>
        </w:rPr>
        <w:t>交货安装人员设施投入计划：需明确拟投入交货人员分工职责、交货安全配套设施投入等内容。</w:t>
      </w:r>
    </w:p>
    <w:p w14:paraId="6C9A89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3.售后服务。供应商须在响应文件中对售后服务的内容和时限等内容做出明确承诺响应；提供售后服务保障措施方案：应至少包括售后服务团队及管理流程：需明确售后服务团队、分工和职责，售后管理流程及服务保障措施等内容；应急售后处理方案：需明确应急情况下的售后响应措施，紧急服务保障及应急储备等内容。</w:t>
      </w:r>
    </w:p>
    <w:p w14:paraId="297FF7E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4.培训。</w:t>
      </w:r>
    </w:p>
    <w:p w14:paraId="650D38F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4.1供应商应为采购人提供现场操作培训，保证至操作人员正常使用货物的各种功能为止；应为采购人维修人员培训维护及保养技术。</w:t>
      </w:r>
    </w:p>
    <w:p w14:paraId="1E38260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4.2供应商应负责提供培训（如采购人需要）,费用包含在本次投标报价内。</w:t>
      </w:r>
    </w:p>
    <w:p w14:paraId="1B03C8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val="zh-CN" w:eastAsia="zh-CN"/>
        </w:rPr>
      </w:pPr>
      <w:r>
        <w:rPr>
          <w:rFonts w:hint="eastAsia" w:ascii="仿宋" w:hAnsi="仿宋" w:eastAsia="仿宋" w:cs="宋体"/>
          <w:color w:val="auto"/>
          <w:szCs w:val="21"/>
          <w:lang w:val="zh-CN" w:eastAsia="zh-CN"/>
        </w:rPr>
        <w:t>4.3供应商须在响应文件中对采购人人员培训做出明确响应，需提供人员培训时间计划安排：至少包含人员培训的时间安排、培训内容组成、培训效果保障措施等内容。</w:t>
      </w:r>
    </w:p>
    <w:p w14:paraId="2CBA1C7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仿宋" w:hAnsi="仿宋" w:eastAsia="仿宋" w:cs="宋体"/>
          <w:color w:val="auto"/>
          <w:szCs w:val="21"/>
          <w:lang w:eastAsia="zh-CN"/>
        </w:rPr>
      </w:pPr>
      <w:r>
        <w:rPr>
          <w:rFonts w:hint="eastAsia" w:ascii="仿宋" w:hAnsi="仿宋" w:eastAsia="仿宋" w:cs="宋体"/>
          <w:color w:val="auto"/>
          <w:szCs w:val="21"/>
          <w:lang w:val="zh-CN" w:eastAsia="zh-CN"/>
        </w:rPr>
        <w:t>5.其它：供应商有其它优惠条件的，请在响应文件中作出具体说明。</w:t>
      </w:r>
    </w:p>
    <w:p w14:paraId="3C0D83F0">
      <w:pPr>
        <w:widowControl/>
        <w:spacing w:line="240" w:lineRule="auto"/>
        <w:ind w:firstLine="0" w:firstLineChars="0"/>
        <w:jc w:val="left"/>
        <w:rPr>
          <w:rFonts w:ascii="仿宋" w:hAnsi="仿宋" w:eastAsia="仿宋"/>
          <w:bCs/>
          <w:color w:val="auto"/>
        </w:rPr>
      </w:pPr>
      <w:r>
        <w:rPr>
          <w:rFonts w:ascii="仿宋" w:hAnsi="仿宋" w:eastAsia="仿宋" w:cs="仿宋_GB2312"/>
          <w:color w:val="auto"/>
          <w:szCs w:val="21"/>
        </w:rPr>
        <w:br w:type="page"/>
      </w:r>
    </w:p>
    <w:p w14:paraId="0648B7D6">
      <w:pPr>
        <w:pStyle w:val="2"/>
        <w:jc w:val="center"/>
        <w:rPr>
          <w:rFonts w:ascii="仿宋" w:hAnsi="仿宋" w:eastAsia="仿宋"/>
          <w:color w:val="auto"/>
          <w:sz w:val="36"/>
        </w:rPr>
      </w:pPr>
      <w:bookmarkStart w:id="207" w:name="_Toc149035947"/>
      <w:bookmarkStart w:id="208" w:name="_Toc22998"/>
      <w:r>
        <w:rPr>
          <w:rFonts w:hint="eastAsia" w:ascii="仿宋" w:hAnsi="仿宋" w:eastAsia="仿宋"/>
          <w:color w:val="auto"/>
          <w:sz w:val="36"/>
        </w:rPr>
        <w:t>第四章</w:t>
      </w:r>
      <w:r>
        <w:rPr>
          <w:rFonts w:hint="eastAsia" w:ascii="仿宋" w:hAnsi="仿宋" w:eastAsia="仿宋"/>
          <w:color w:val="auto"/>
          <w:sz w:val="36"/>
          <w:lang w:val="en-US" w:eastAsia="zh-CN"/>
        </w:rPr>
        <w:t xml:space="preserve"> </w:t>
      </w:r>
      <w:r>
        <w:rPr>
          <w:rFonts w:hint="eastAsia" w:ascii="仿宋" w:hAnsi="仿宋" w:eastAsia="仿宋"/>
          <w:color w:val="auto"/>
          <w:sz w:val="36"/>
        </w:rPr>
        <w:t>评分办法</w:t>
      </w:r>
      <w:bookmarkEnd w:id="207"/>
      <w:bookmarkEnd w:id="208"/>
    </w:p>
    <w:p w14:paraId="7A96D1EC">
      <w:pPr>
        <w:keepNext w:val="0"/>
        <w:keepLines w:val="0"/>
        <w:pageBreakBefore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color w:val="auto"/>
          <w:sz w:val="21"/>
          <w:szCs w:val="21"/>
        </w:rPr>
      </w:pPr>
      <w:bookmarkStart w:id="209" w:name="_Toc22608"/>
      <w:bookmarkStart w:id="210" w:name="_Toc149035948"/>
      <w:r>
        <w:rPr>
          <w:rFonts w:hint="eastAsia" w:ascii="仿宋" w:hAnsi="仿宋" w:eastAsia="仿宋" w:cs="仿宋"/>
          <w:b/>
          <w:color w:val="auto"/>
          <w:sz w:val="21"/>
          <w:szCs w:val="21"/>
        </w:rPr>
        <w:t>评定办法前附表</w:t>
      </w:r>
      <w:bookmarkEnd w:id="209"/>
      <w:bookmarkEnd w:id="210"/>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680"/>
        <w:gridCol w:w="647"/>
        <w:gridCol w:w="204"/>
        <w:gridCol w:w="2211"/>
        <w:gridCol w:w="5329"/>
      </w:tblGrid>
      <w:tr w14:paraId="68CA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1531" w:type="dxa"/>
            <w:gridSpan w:val="3"/>
            <w:vAlign w:val="center"/>
          </w:tcPr>
          <w:p w14:paraId="1A72B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条款号</w:t>
            </w:r>
          </w:p>
        </w:tc>
        <w:tc>
          <w:tcPr>
            <w:tcW w:w="2211" w:type="dxa"/>
            <w:vAlign w:val="center"/>
          </w:tcPr>
          <w:p w14:paraId="07471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评审因素</w:t>
            </w:r>
          </w:p>
        </w:tc>
        <w:tc>
          <w:tcPr>
            <w:tcW w:w="5329" w:type="dxa"/>
            <w:vAlign w:val="center"/>
          </w:tcPr>
          <w:p w14:paraId="0B938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评审标准</w:t>
            </w:r>
          </w:p>
        </w:tc>
      </w:tr>
      <w:tr w14:paraId="3BBD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6" w:hRule="atLeast"/>
          <w:jc w:val="center"/>
        </w:trPr>
        <w:tc>
          <w:tcPr>
            <w:tcW w:w="680" w:type="dxa"/>
            <w:vMerge w:val="restart"/>
            <w:vAlign w:val="center"/>
          </w:tcPr>
          <w:p w14:paraId="7C550C3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bCs/>
                <w:color w:val="auto"/>
                <w:kern w:val="0"/>
                <w:sz w:val="21"/>
                <w:szCs w:val="21"/>
              </w:rPr>
              <w:t>1.1</w:t>
            </w:r>
          </w:p>
        </w:tc>
        <w:tc>
          <w:tcPr>
            <w:tcW w:w="851" w:type="dxa"/>
            <w:gridSpan w:val="2"/>
            <w:vMerge w:val="restart"/>
            <w:vAlign w:val="center"/>
          </w:tcPr>
          <w:p w14:paraId="3F074FE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color w:val="auto"/>
                <w:sz w:val="21"/>
                <w:szCs w:val="21"/>
              </w:rPr>
              <w:t>资格性审查标准</w:t>
            </w:r>
          </w:p>
        </w:tc>
        <w:tc>
          <w:tcPr>
            <w:tcW w:w="2211" w:type="dxa"/>
            <w:vAlign w:val="center"/>
          </w:tcPr>
          <w:p w14:paraId="16BB3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资格要求</w:t>
            </w:r>
          </w:p>
        </w:tc>
        <w:tc>
          <w:tcPr>
            <w:tcW w:w="5329" w:type="dxa"/>
            <w:vAlign w:val="center"/>
          </w:tcPr>
          <w:p w14:paraId="4DA5192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符合本采购文件第一章第二款要求，并提供合格有效的证明材料</w:t>
            </w:r>
          </w:p>
        </w:tc>
      </w:tr>
      <w:tr w14:paraId="1B6A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4116E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851" w:type="dxa"/>
            <w:gridSpan w:val="2"/>
            <w:vMerge w:val="continue"/>
            <w:vAlign w:val="center"/>
          </w:tcPr>
          <w:p w14:paraId="0AA91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p>
        </w:tc>
        <w:tc>
          <w:tcPr>
            <w:tcW w:w="2211" w:type="dxa"/>
            <w:vAlign w:val="center"/>
          </w:tcPr>
          <w:p w14:paraId="17DC8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其他要求</w:t>
            </w:r>
          </w:p>
        </w:tc>
        <w:tc>
          <w:tcPr>
            <w:tcW w:w="5329" w:type="dxa"/>
            <w:vAlign w:val="center"/>
          </w:tcPr>
          <w:p w14:paraId="3871E05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符合本采购文件中的其他规定</w:t>
            </w:r>
          </w:p>
        </w:tc>
      </w:tr>
      <w:tr w14:paraId="6FEE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restart"/>
            <w:vAlign w:val="center"/>
          </w:tcPr>
          <w:p w14:paraId="686FD37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bCs/>
                <w:color w:val="auto"/>
                <w:kern w:val="0"/>
                <w:sz w:val="21"/>
                <w:szCs w:val="21"/>
              </w:rPr>
              <w:t>1.2</w:t>
            </w:r>
          </w:p>
        </w:tc>
        <w:tc>
          <w:tcPr>
            <w:tcW w:w="851" w:type="dxa"/>
            <w:gridSpan w:val="2"/>
            <w:vMerge w:val="restart"/>
            <w:vAlign w:val="center"/>
          </w:tcPr>
          <w:p w14:paraId="5F01D7A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符合性审查标准</w:t>
            </w:r>
          </w:p>
        </w:tc>
        <w:tc>
          <w:tcPr>
            <w:tcW w:w="2211" w:type="dxa"/>
            <w:vMerge w:val="restart"/>
            <w:vAlign w:val="center"/>
          </w:tcPr>
          <w:p w14:paraId="35E32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color w:val="auto"/>
                <w:kern w:val="0"/>
                <w:sz w:val="21"/>
                <w:szCs w:val="21"/>
              </w:rPr>
              <w:t>磋商报价</w:t>
            </w:r>
          </w:p>
        </w:tc>
        <w:tc>
          <w:tcPr>
            <w:tcW w:w="5329" w:type="dxa"/>
            <w:vAlign w:val="center"/>
          </w:tcPr>
          <w:p w14:paraId="3ECE98C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bCs/>
                <w:color w:val="auto"/>
                <w:kern w:val="0"/>
                <w:sz w:val="21"/>
                <w:szCs w:val="21"/>
              </w:rPr>
            </w:pPr>
            <w:r>
              <w:rPr>
                <w:rFonts w:hint="eastAsia" w:ascii="仿宋" w:hAnsi="仿宋" w:eastAsia="仿宋" w:cs="仿宋"/>
                <w:color w:val="auto"/>
                <w:kern w:val="0"/>
                <w:sz w:val="21"/>
                <w:szCs w:val="21"/>
              </w:rPr>
              <w:t>每一种采购内容是否只有一个报价</w:t>
            </w:r>
          </w:p>
        </w:tc>
      </w:tr>
      <w:tr w14:paraId="61E5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12CE2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851" w:type="dxa"/>
            <w:gridSpan w:val="2"/>
            <w:vMerge w:val="continue"/>
            <w:vAlign w:val="center"/>
          </w:tcPr>
          <w:p w14:paraId="35341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2211" w:type="dxa"/>
            <w:vMerge w:val="continue"/>
            <w:vAlign w:val="center"/>
          </w:tcPr>
          <w:p w14:paraId="45A19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p>
        </w:tc>
        <w:tc>
          <w:tcPr>
            <w:tcW w:w="5329" w:type="dxa"/>
            <w:vAlign w:val="center"/>
          </w:tcPr>
          <w:p w14:paraId="639F036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报价金额是否未超过采购预算</w:t>
            </w:r>
          </w:p>
        </w:tc>
      </w:tr>
      <w:tr w14:paraId="7026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03445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851" w:type="dxa"/>
            <w:gridSpan w:val="2"/>
            <w:vMerge w:val="continue"/>
            <w:vAlign w:val="center"/>
          </w:tcPr>
          <w:p w14:paraId="7CA64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2211" w:type="dxa"/>
            <w:vAlign w:val="center"/>
          </w:tcPr>
          <w:p w14:paraId="5FD83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color w:val="auto"/>
                <w:kern w:val="0"/>
                <w:sz w:val="21"/>
                <w:szCs w:val="21"/>
              </w:rPr>
              <w:t>磋商书签字盖章</w:t>
            </w:r>
          </w:p>
        </w:tc>
        <w:tc>
          <w:tcPr>
            <w:tcW w:w="5329" w:type="dxa"/>
            <w:vAlign w:val="center"/>
          </w:tcPr>
          <w:p w14:paraId="7CD04FD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是否有法定代表人或其委托代理人签字并加盖单位公章</w:t>
            </w:r>
          </w:p>
        </w:tc>
      </w:tr>
      <w:tr w14:paraId="564C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3540D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851" w:type="dxa"/>
            <w:gridSpan w:val="2"/>
            <w:vMerge w:val="continue"/>
            <w:vAlign w:val="center"/>
          </w:tcPr>
          <w:p w14:paraId="2ACF1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2211" w:type="dxa"/>
            <w:vAlign w:val="center"/>
          </w:tcPr>
          <w:p w14:paraId="1779D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磋商有效期</w:t>
            </w:r>
          </w:p>
        </w:tc>
        <w:tc>
          <w:tcPr>
            <w:tcW w:w="5329" w:type="dxa"/>
            <w:vAlign w:val="center"/>
          </w:tcPr>
          <w:p w14:paraId="183C985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磋商有效期是否满足竞争性磋商采购文件要求</w:t>
            </w:r>
          </w:p>
        </w:tc>
      </w:tr>
      <w:tr w14:paraId="1F3C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2C859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851" w:type="dxa"/>
            <w:gridSpan w:val="2"/>
            <w:vMerge w:val="continue"/>
            <w:vAlign w:val="center"/>
          </w:tcPr>
          <w:p w14:paraId="33769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2211" w:type="dxa"/>
            <w:vMerge w:val="restart"/>
            <w:vAlign w:val="center"/>
          </w:tcPr>
          <w:p w14:paraId="19E38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采购需求响应</w:t>
            </w:r>
          </w:p>
        </w:tc>
        <w:tc>
          <w:tcPr>
            <w:tcW w:w="5329" w:type="dxa"/>
            <w:vAlign w:val="center"/>
          </w:tcPr>
          <w:p w14:paraId="7120DC9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是否未提出采购人不能接受的合同条件</w:t>
            </w:r>
          </w:p>
        </w:tc>
      </w:tr>
      <w:tr w14:paraId="7B60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21994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color w:val="auto"/>
                <w:kern w:val="0"/>
                <w:sz w:val="21"/>
                <w:szCs w:val="21"/>
                <w:lang w:val="en-US" w:eastAsia="zh-CN"/>
              </w:rPr>
              <w:t>是否满足</w:t>
            </w:r>
            <w:r>
              <w:rPr>
                <w:rFonts w:hint="eastAsia" w:ascii="仿宋" w:hAnsi="仿宋" w:eastAsia="仿宋" w:cs="仿宋"/>
                <w:color w:val="auto"/>
                <w:kern w:val="0"/>
                <w:sz w:val="21"/>
                <w:szCs w:val="21"/>
              </w:rPr>
              <w:t>采购文件中的</w:t>
            </w:r>
            <w:r>
              <w:rPr>
                <w:rFonts w:hint="eastAsia" w:ascii="仿宋" w:hAnsi="仿宋" w:eastAsia="仿宋" w:cs="仿宋"/>
                <w:color w:val="auto"/>
                <w:kern w:val="0"/>
                <w:sz w:val="21"/>
                <w:szCs w:val="21"/>
                <w:lang w:val="en-US" w:eastAsia="zh-CN"/>
              </w:rPr>
              <w:t>★号要求（实质响应条款）</w:t>
            </w:r>
          </w:p>
        </w:tc>
        <w:tc>
          <w:tcPr>
            <w:tcW w:w="851" w:type="dxa"/>
            <w:gridSpan w:val="2"/>
            <w:vMerge w:val="continue"/>
            <w:vAlign w:val="center"/>
          </w:tcPr>
          <w:p w14:paraId="5BD90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2211" w:type="dxa"/>
            <w:vMerge w:val="continue"/>
            <w:vAlign w:val="center"/>
          </w:tcPr>
          <w:p w14:paraId="50CDF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p>
        </w:tc>
        <w:tc>
          <w:tcPr>
            <w:tcW w:w="5329" w:type="dxa"/>
            <w:vAlign w:val="center"/>
          </w:tcPr>
          <w:p w14:paraId="6C6ADAC8">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是否满足</w:t>
            </w:r>
            <w:r>
              <w:rPr>
                <w:rFonts w:hint="eastAsia" w:ascii="仿宋" w:hAnsi="仿宋" w:eastAsia="仿宋" w:cs="仿宋"/>
                <w:color w:val="auto"/>
                <w:kern w:val="0"/>
                <w:sz w:val="21"/>
                <w:szCs w:val="21"/>
              </w:rPr>
              <w:t>采购文件中的</w:t>
            </w:r>
            <w:r>
              <w:rPr>
                <w:rFonts w:hint="eastAsia" w:ascii="仿宋" w:hAnsi="仿宋" w:eastAsia="仿宋" w:cs="仿宋"/>
                <w:color w:val="auto"/>
                <w:kern w:val="0"/>
                <w:sz w:val="21"/>
                <w:szCs w:val="21"/>
                <w:lang w:val="en-US" w:eastAsia="zh-CN"/>
              </w:rPr>
              <w:t>★号要求（实质响应条款）</w:t>
            </w:r>
          </w:p>
        </w:tc>
      </w:tr>
      <w:tr w14:paraId="2CF5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5DE02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851" w:type="dxa"/>
            <w:gridSpan w:val="2"/>
            <w:vMerge w:val="continue"/>
            <w:vAlign w:val="center"/>
          </w:tcPr>
          <w:p w14:paraId="5474E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2211" w:type="dxa"/>
            <w:vMerge w:val="continue"/>
            <w:vAlign w:val="center"/>
          </w:tcPr>
          <w:p w14:paraId="18395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p>
        </w:tc>
        <w:tc>
          <w:tcPr>
            <w:tcW w:w="5329" w:type="dxa"/>
            <w:vAlign w:val="center"/>
          </w:tcPr>
          <w:p w14:paraId="6F82B5B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是否有重大缺漏项或偏差</w:t>
            </w:r>
          </w:p>
        </w:tc>
      </w:tr>
      <w:tr w14:paraId="2874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63" w:hRule="atLeast"/>
          <w:jc w:val="center"/>
        </w:trPr>
        <w:tc>
          <w:tcPr>
            <w:tcW w:w="680" w:type="dxa"/>
            <w:vMerge w:val="continue"/>
            <w:vAlign w:val="center"/>
          </w:tcPr>
          <w:p w14:paraId="7A6A6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851" w:type="dxa"/>
            <w:gridSpan w:val="2"/>
            <w:vMerge w:val="continue"/>
            <w:vAlign w:val="center"/>
          </w:tcPr>
          <w:p w14:paraId="39675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p>
        </w:tc>
        <w:tc>
          <w:tcPr>
            <w:tcW w:w="2211" w:type="dxa"/>
            <w:vAlign w:val="center"/>
          </w:tcPr>
          <w:p w14:paraId="31F6A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其他要求</w:t>
            </w:r>
          </w:p>
        </w:tc>
        <w:tc>
          <w:tcPr>
            <w:tcW w:w="5329" w:type="dxa"/>
            <w:vAlign w:val="center"/>
          </w:tcPr>
          <w:p w14:paraId="36C3EB9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是否符合竞争性磋商采购文件中的其他规定</w:t>
            </w:r>
          </w:p>
        </w:tc>
      </w:tr>
      <w:tr w14:paraId="5E5A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restart"/>
            <w:vAlign w:val="center"/>
          </w:tcPr>
          <w:p w14:paraId="192EE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1.3</w:t>
            </w:r>
          </w:p>
        </w:tc>
        <w:tc>
          <w:tcPr>
            <w:tcW w:w="851" w:type="dxa"/>
            <w:gridSpan w:val="2"/>
            <w:vMerge w:val="restart"/>
            <w:vAlign w:val="center"/>
          </w:tcPr>
          <w:p w14:paraId="0DF4D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确定磋商供应商进行最后报价</w:t>
            </w:r>
          </w:p>
        </w:tc>
        <w:tc>
          <w:tcPr>
            <w:tcW w:w="2211" w:type="dxa"/>
            <w:vAlign w:val="center"/>
          </w:tcPr>
          <w:p w14:paraId="7AD4C40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磋商文件能完整、明确列明采购需求，无需要供应商提供最终设计方案或者解决方案的</w:t>
            </w:r>
          </w:p>
        </w:tc>
        <w:tc>
          <w:tcPr>
            <w:tcW w:w="5329" w:type="dxa"/>
            <w:vAlign w:val="center"/>
          </w:tcPr>
          <w:p w14:paraId="04EA9D4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在磋商结束后，磋商小组向所有通过初步审核的磋商供应商发出报价书，并要求其在规定时间内提交最后报价。</w:t>
            </w:r>
          </w:p>
        </w:tc>
      </w:tr>
      <w:tr w14:paraId="4B0F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14:paraId="043A6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p>
        </w:tc>
        <w:tc>
          <w:tcPr>
            <w:tcW w:w="851" w:type="dxa"/>
            <w:gridSpan w:val="2"/>
            <w:vMerge w:val="continue"/>
            <w:vAlign w:val="center"/>
          </w:tcPr>
          <w:p w14:paraId="2BD94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p>
        </w:tc>
        <w:tc>
          <w:tcPr>
            <w:tcW w:w="2211" w:type="dxa"/>
            <w:vAlign w:val="center"/>
          </w:tcPr>
          <w:p w14:paraId="558C2BE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磋商文件不能完整、明确列明采购需求，需要由供应商提供最终设计方案或者解决方案的</w:t>
            </w:r>
          </w:p>
        </w:tc>
        <w:tc>
          <w:tcPr>
            <w:tcW w:w="5329" w:type="dxa"/>
            <w:vAlign w:val="center"/>
          </w:tcPr>
          <w:p w14:paraId="6DB6103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在磋商结束后，磋商小组应当按照少数服从多数的原则投票推荐供应商的设计方案或者解决方案，并要求其在规定时间内提交最后报价。</w:t>
            </w:r>
          </w:p>
        </w:tc>
      </w:tr>
      <w:tr w14:paraId="1656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40" w:hRule="atLeast"/>
          <w:jc w:val="center"/>
        </w:trPr>
        <w:tc>
          <w:tcPr>
            <w:tcW w:w="680" w:type="dxa"/>
            <w:vAlign w:val="center"/>
          </w:tcPr>
          <w:p w14:paraId="7DBA4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bCs/>
                <w:color w:val="auto"/>
                <w:kern w:val="0"/>
                <w:sz w:val="21"/>
                <w:szCs w:val="21"/>
              </w:rPr>
              <w:t>2</w:t>
            </w:r>
          </w:p>
        </w:tc>
        <w:tc>
          <w:tcPr>
            <w:tcW w:w="851" w:type="dxa"/>
            <w:gridSpan w:val="2"/>
            <w:vAlign w:val="center"/>
          </w:tcPr>
          <w:p w14:paraId="658B2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bCs/>
                <w:color w:val="auto"/>
                <w:kern w:val="0"/>
                <w:sz w:val="21"/>
                <w:szCs w:val="21"/>
              </w:rPr>
              <w:t>评定</w:t>
            </w:r>
          </w:p>
          <w:p w14:paraId="6E254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kern w:val="0"/>
                <w:sz w:val="21"/>
                <w:szCs w:val="21"/>
              </w:rPr>
            </w:pPr>
            <w:r>
              <w:rPr>
                <w:rFonts w:hint="eastAsia" w:ascii="仿宋" w:hAnsi="仿宋" w:eastAsia="仿宋" w:cs="仿宋"/>
                <w:bCs/>
                <w:color w:val="auto"/>
                <w:kern w:val="0"/>
                <w:sz w:val="21"/>
                <w:szCs w:val="21"/>
              </w:rPr>
              <w:t>办法</w:t>
            </w:r>
          </w:p>
        </w:tc>
        <w:tc>
          <w:tcPr>
            <w:tcW w:w="2211" w:type="dxa"/>
            <w:vAlign w:val="center"/>
          </w:tcPr>
          <w:p w14:paraId="669EC04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bCs/>
                <w:color w:val="auto"/>
                <w:kern w:val="0"/>
                <w:sz w:val="21"/>
                <w:szCs w:val="21"/>
              </w:rPr>
              <w:t>综合评分法</w:t>
            </w:r>
          </w:p>
        </w:tc>
        <w:tc>
          <w:tcPr>
            <w:tcW w:w="5329" w:type="dxa"/>
            <w:vAlign w:val="center"/>
          </w:tcPr>
          <w:p w14:paraId="30D6F7A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sz w:val="21"/>
                <w:szCs w:val="21"/>
              </w:rPr>
              <w:t>各供应商的最终得分为各评委所评定分数的算术平均值。磋商小组将根据供应商最终得分由高到低的照顺序推荐3名成交候选人</w:t>
            </w:r>
          </w:p>
        </w:tc>
      </w:tr>
      <w:tr w14:paraId="3BFD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38" w:hRule="atLeast"/>
          <w:jc w:val="center"/>
        </w:trPr>
        <w:tc>
          <w:tcPr>
            <w:tcW w:w="9071" w:type="dxa"/>
            <w:gridSpan w:val="5"/>
            <w:vAlign w:val="center"/>
          </w:tcPr>
          <w:p w14:paraId="6E919D80">
            <w:pPr>
              <w:keepNext w:val="0"/>
              <w:keepLines w:val="0"/>
              <w:pageBreakBefore w:val="0"/>
              <w:widowControl/>
              <w:pBdr>
                <w:between w:val="single" w:color="auto" w:sz="4" w:space="0"/>
              </w:pBdr>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b/>
                <w:color w:val="auto"/>
                <w:kern w:val="0"/>
                <w:sz w:val="21"/>
                <w:szCs w:val="21"/>
              </w:rPr>
              <w:t>政策支持</w:t>
            </w:r>
          </w:p>
        </w:tc>
      </w:tr>
      <w:tr w14:paraId="2754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1327" w:type="dxa"/>
            <w:gridSpan w:val="2"/>
            <w:vAlign w:val="center"/>
          </w:tcPr>
          <w:p w14:paraId="00B29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本项目类型</w:t>
            </w:r>
          </w:p>
        </w:tc>
        <w:tc>
          <w:tcPr>
            <w:tcW w:w="7744" w:type="dxa"/>
            <w:gridSpan w:val="3"/>
            <w:vAlign w:val="center"/>
          </w:tcPr>
          <w:p w14:paraId="3F3130C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工</w:t>
            </w:r>
            <w:r>
              <w:rPr>
                <w:rFonts w:hint="eastAsia" w:ascii="仿宋" w:hAnsi="仿宋" w:eastAsia="仿宋" w:cs="仿宋"/>
                <w:color w:val="auto"/>
                <w:kern w:val="0"/>
                <w:sz w:val="21"/>
                <w:szCs w:val="21"/>
              </w:rPr>
              <w:t>业。</w:t>
            </w:r>
          </w:p>
          <w:p w14:paraId="11D71F88">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5C76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1327" w:type="dxa"/>
            <w:gridSpan w:val="2"/>
            <w:vAlign w:val="center"/>
          </w:tcPr>
          <w:p w14:paraId="5DB10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中小企业</w:t>
            </w:r>
          </w:p>
        </w:tc>
        <w:tc>
          <w:tcPr>
            <w:tcW w:w="7744" w:type="dxa"/>
            <w:gridSpan w:val="3"/>
            <w:vAlign w:val="center"/>
          </w:tcPr>
          <w:p w14:paraId="4C0464F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1.如</w:t>
            </w:r>
            <w:r>
              <w:rPr>
                <w:rFonts w:hint="eastAsia" w:ascii="仿宋" w:hAnsi="仿宋" w:eastAsia="仿宋" w:cs="仿宋"/>
                <w:color w:val="auto"/>
                <w:kern w:val="0"/>
                <w:sz w:val="21"/>
                <w:szCs w:val="21"/>
                <w:lang w:eastAsia="zh-CN"/>
              </w:rPr>
              <w:t>供应商</w:t>
            </w:r>
            <w:r>
              <w:rPr>
                <w:rFonts w:hint="eastAsia" w:ascii="仿宋" w:hAnsi="仿宋" w:eastAsia="仿宋" w:cs="仿宋"/>
                <w:color w:val="auto"/>
                <w:kern w:val="0"/>
                <w:sz w:val="21"/>
                <w:szCs w:val="21"/>
              </w:rPr>
              <w:t>符合工信部联企业〔2011〕300号文中对中小企业划型标准的，根据《政府采购促进中小企业发展管理办法》（财库〔2020〕46号）的要求，</w:t>
            </w:r>
            <w:r>
              <w:rPr>
                <w:rFonts w:hint="eastAsia" w:ascii="仿宋" w:hAnsi="仿宋" w:eastAsia="仿宋" w:cs="仿宋"/>
                <w:color w:val="auto"/>
                <w:kern w:val="0"/>
                <w:sz w:val="21"/>
                <w:szCs w:val="21"/>
                <w:lang w:eastAsia="zh-CN"/>
              </w:rPr>
              <w:t>供应商</w:t>
            </w:r>
            <w:r>
              <w:rPr>
                <w:rFonts w:hint="eastAsia" w:ascii="仿宋" w:hAnsi="仿宋" w:eastAsia="仿宋" w:cs="仿宋"/>
                <w:color w:val="auto"/>
                <w:kern w:val="0"/>
                <w:sz w:val="21"/>
                <w:szCs w:val="21"/>
              </w:rPr>
              <w:t>需提供《中小企业声明函》（格式见第六章）并按其要求填写相关数据资料，否则在评审时不享受相关扶持政策。</w:t>
            </w:r>
          </w:p>
          <w:p w14:paraId="56D2767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2.对于专门面向中小微企业采购或小微企业采购的项目，</w:t>
            </w:r>
            <w:r>
              <w:rPr>
                <w:rFonts w:hint="eastAsia" w:ascii="仿宋" w:hAnsi="仿宋" w:eastAsia="仿宋" w:cs="仿宋"/>
                <w:color w:val="auto"/>
                <w:kern w:val="0"/>
                <w:sz w:val="21"/>
                <w:szCs w:val="21"/>
                <w:lang w:eastAsia="zh-CN"/>
              </w:rPr>
              <w:t>供应商</w:t>
            </w:r>
            <w:r>
              <w:rPr>
                <w:rFonts w:hint="eastAsia" w:ascii="仿宋" w:hAnsi="仿宋" w:eastAsia="仿宋" w:cs="仿宋"/>
                <w:color w:val="auto"/>
                <w:kern w:val="0"/>
                <w:sz w:val="21"/>
                <w:szCs w:val="21"/>
              </w:rPr>
              <w:t>需提供《中小企业声明函》并按其要求填写相关数据资料，否则作废标处理。</w:t>
            </w:r>
          </w:p>
          <w:p w14:paraId="79B109B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对于未预留份额专门面向中小企业采购的采购项目，以及预留份额项目中的非预留部分采购包，依据相关规定，对参加政府采购活动的小型和微型企业报价给予10%的扣除，用扣除后的价格参与评审；其中，根据《关于落实稳住经济一揽子政策进一步加大政府采购支持中小企业力度的通知》（鄂财采发〔2022〕5号）的规定，对小微企业中的残疾人企业、监狱企业、采购产品纳入创新产品应用示范推荐目录内企业、采购产品获得节能产品或环境标志产品认证证书的企业，报价给予20%的扣除，用扣除后的价格参与评审。</w:t>
            </w:r>
          </w:p>
          <w:p w14:paraId="6E8B4D4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接受大中型企业与小微企业组成联合体或者允许大中型企业向一家或者多家小微企业分包的采购项目，对于联合协议或者分包意向协议约定小微企业的合同份额占到合同总金额30%以上的，评审委员会将根据《政府采购促进中小企业发展管理办法》的相关规定在评审时给予联合体</w:t>
            </w:r>
            <w:r>
              <w:rPr>
                <w:rFonts w:hint="eastAsia" w:ascii="仿宋" w:hAnsi="仿宋" w:eastAsia="仿宋" w:cs="仿宋"/>
                <w:color w:val="auto"/>
                <w:kern w:val="0"/>
                <w:sz w:val="21"/>
                <w:szCs w:val="21"/>
                <w:lang w:eastAsia="zh-CN"/>
              </w:rPr>
              <w:t>供应商</w:t>
            </w:r>
            <w:r>
              <w:rPr>
                <w:rFonts w:hint="eastAsia" w:ascii="仿宋" w:hAnsi="仿宋" w:eastAsia="仿宋" w:cs="仿宋"/>
                <w:color w:val="auto"/>
                <w:kern w:val="0"/>
                <w:sz w:val="21"/>
                <w:szCs w:val="21"/>
              </w:rPr>
              <w:t>4%的价格扣除，用扣除后的价格参与评审。</w:t>
            </w:r>
          </w:p>
        </w:tc>
      </w:tr>
      <w:tr w14:paraId="49E4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1327" w:type="dxa"/>
            <w:gridSpan w:val="2"/>
            <w:vAlign w:val="center"/>
          </w:tcPr>
          <w:p w14:paraId="7F292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节能环保</w:t>
            </w:r>
          </w:p>
        </w:tc>
        <w:tc>
          <w:tcPr>
            <w:tcW w:w="7744" w:type="dxa"/>
            <w:gridSpan w:val="3"/>
            <w:vAlign w:val="center"/>
          </w:tcPr>
          <w:p w14:paraId="2E595F5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按照《财政部 发展改革委 生态环境部 市场监管总局 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文件执行。</w:t>
            </w:r>
          </w:p>
          <w:p w14:paraId="7A2361D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如供应商投标产品符合以上文件的政策支持，须提供产品认证证书（合格有效时间内的）或节能产品查询（http://www.ccgp.gov.cn/search/jnqdchaxun.htm）/环境标志产品查询（http://www.ccgp.gov.cn/search/hbqdchaxun.htm）查询结果截图。</w:t>
            </w:r>
          </w:p>
          <w:p w14:paraId="2C5C935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经评委会审核确认供应商投标产品符合以上政府采购政策的，给予该项投标产品所占价格的1%的价格扣除，用扣除后的价格参与评审。</w:t>
            </w:r>
          </w:p>
          <w:p w14:paraId="118E6CA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上述政府采购政策优惠须经评标委评审后执行，未提供单独分项报价或证明资料不全的不给予价格扣除。同一项目包内的节能产品价格扣除只对属于节能产品政府清单内的非强制类产品进行，强制类产品已作为投标时强制性要求不再给予价格扣除。</w:t>
            </w:r>
          </w:p>
          <w:p w14:paraId="2E8DE65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同时被认证为节能产品和环境标志产品的不重复享受价格扣除。</w:t>
            </w:r>
          </w:p>
        </w:tc>
      </w:tr>
      <w:tr w14:paraId="1E11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1327" w:type="dxa"/>
            <w:gridSpan w:val="2"/>
            <w:vAlign w:val="center"/>
          </w:tcPr>
          <w:p w14:paraId="347F4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监狱企业</w:t>
            </w:r>
          </w:p>
        </w:tc>
        <w:tc>
          <w:tcPr>
            <w:tcW w:w="7744" w:type="dxa"/>
            <w:gridSpan w:val="3"/>
            <w:vAlign w:val="center"/>
          </w:tcPr>
          <w:p w14:paraId="4820122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按照财政部《关于政府采购支持监狱企业发展有关问题的通知》（财库[2014]68号）的规定，在政府采购活动中，监狱企业视同小型、微型企业，享受预留份额、评审中价格扣除等政府采购促进中小企业发展的政府采购政策。</w:t>
            </w:r>
          </w:p>
          <w:p w14:paraId="5C1DC24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监狱企业参加政府采购活动时，应当提供由省级以上监狱管理局、戒毒管理局（含新疆生产建设兵团）出具的属于监狱企业的证明文件，材料不全的不予折扣。</w:t>
            </w:r>
          </w:p>
          <w:p w14:paraId="4A225D3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 xml:space="preserve">经评委会审核确认供应商属于监狱企业的，在评定时视同中小企业。 </w:t>
            </w:r>
          </w:p>
        </w:tc>
      </w:tr>
      <w:tr w14:paraId="5A16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1" w:hRule="atLeast"/>
          <w:jc w:val="center"/>
        </w:trPr>
        <w:tc>
          <w:tcPr>
            <w:tcW w:w="1327" w:type="dxa"/>
            <w:gridSpan w:val="2"/>
            <w:vAlign w:val="center"/>
          </w:tcPr>
          <w:p w14:paraId="3228B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促进残疾人就业</w:t>
            </w:r>
          </w:p>
        </w:tc>
        <w:tc>
          <w:tcPr>
            <w:tcW w:w="7744" w:type="dxa"/>
            <w:gridSpan w:val="3"/>
            <w:vAlign w:val="center"/>
          </w:tcPr>
          <w:p w14:paraId="4AB5693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按照《三部门联合发布关于促进残疾人就业政府采购政策的通知》（财库〔2017〕141号）的规定，在政府采购活动中，残疾人福利性单位视同小型、微型企业，享受预留份额、评审中价格扣除等促进中小企业发展的政府采购政策。</w:t>
            </w:r>
          </w:p>
          <w:p w14:paraId="1FB5E73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符合条件的残疾人福利性单位在参加政府采购活动时，应当提供财库〔2017〕141号文规定的《残疾人福利性单位声明函》（格式见第六章），并对声明的真实性负责，未提供声明函的不予折扣。</w:t>
            </w:r>
          </w:p>
          <w:p w14:paraId="78EA99E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经评委会审核确认供应商符合残疾人福利性单位条件的，在评定时视同中小企业。残疾人福利性单位属于小型、微型企业的，不重复享受政策。</w:t>
            </w:r>
          </w:p>
        </w:tc>
      </w:tr>
    </w:tbl>
    <w:p w14:paraId="300207C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rPr>
      </w:pPr>
    </w:p>
    <w:p w14:paraId="0CF3F85D">
      <w:pPr>
        <w:keepNext w:val="0"/>
        <w:keepLines w:val="0"/>
        <w:pageBreakBefore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color w:val="auto"/>
          <w:sz w:val="21"/>
          <w:szCs w:val="21"/>
        </w:rPr>
      </w:pPr>
      <w:bookmarkStart w:id="211" w:name="_Toc149035949"/>
      <w:bookmarkStart w:id="212" w:name="_Toc11974"/>
      <w:r>
        <w:rPr>
          <w:rFonts w:hint="eastAsia" w:ascii="仿宋" w:hAnsi="仿宋" w:eastAsia="仿宋" w:cs="仿宋"/>
          <w:b/>
          <w:color w:val="auto"/>
          <w:sz w:val="21"/>
          <w:szCs w:val="21"/>
        </w:rPr>
        <w:t>计算办法</w:t>
      </w:r>
      <w:bookmarkEnd w:id="211"/>
      <w:bookmarkEnd w:id="212"/>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3499"/>
        <w:gridCol w:w="5572"/>
      </w:tblGrid>
      <w:tr w14:paraId="3D90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3499" w:type="dxa"/>
            <w:vAlign w:val="center"/>
          </w:tcPr>
          <w:p w14:paraId="385D5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条款内容</w:t>
            </w:r>
          </w:p>
        </w:tc>
        <w:tc>
          <w:tcPr>
            <w:tcW w:w="5572" w:type="dxa"/>
            <w:vAlign w:val="center"/>
          </w:tcPr>
          <w:p w14:paraId="59147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编列内容</w:t>
            </w:r>
          </w:p>
        </w:tc>
      </w:tr>
      <w:tr w14:paraId="4627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27" w:hRule="atLeast"/>
          <w:jc w:val="center"/>
        </w:trPr>
        <w:tc>
          <w:tcPr>
            <w:tcW w:w="3499" w:type="dxa"/>
            <w:vMerge w:val="restart"/>
            <w:vAlign w:val="center"/>
          </w:tcPr>
          <w:p w14:paraId="18FA9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分值构成(总分100分)</w:t>
            </w:r>
          </w:p>
        </w:tc>
        <w:tc>
          <w:tcPr>
            <w:tcW w:w="5572" w:type="dxa"/>
            <w:vAlign w:val="center"/>
          </w:tcPr>
          <w:p w14:paraId="294B9A9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商务部分：详见评分细则</w:t>
            </w:r>
          </w:p>
        </w:tc>
      </w:tr>
      <w:tr w14:paraId="4BF5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23" w:hRule="atLeast"/>
          <w:jc w:val="center"/>
        </w:trPr>
        <w:tc>
          <w:tcPr>
            <w:tcW w:w="3499" w:type="dxa"/>
            <w:vMerge w:val="continue"/>
            <w:vAlign w:val="center"/>
          </w:tcPr>
          <w:p w14:paraId="40816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p>
        </w:tc>
        <w:tc>
          <w:tcPr>
            <w:tcW w:w="5572" w:type="dxa"/>
            <w:vAlign w:val="center"/>
          </w:tcPr>
          <w:p w14:paraId="21B5DA1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技术部分：详见评分细则</w:t>
            </w:r>
          </w:p>
        </w:tc>
      </w:tr>
      <w:tr w14:paraId="7AE9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36" w:hRule="atLeast"/>
          <w:jc w:val="center"/>
        </w:trPr>
        <w:tc>
          <w:tcPr>
            <w:tcW w:w="3499" w:type="dxa"/>
            <w:vMerge w:val="continue"/>
            <w:vAlign w:val="center"/>
          </w:tcPr>
          <w:p w14:paraId="250E4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p>
        </w:tc>
        <w:tc>
          <w:tcPr>
            <w:tcW w:w="5572" w:type="dxa"/>
            <w:vAlign w:val="center"/>
          </w:tcPr>
          <w:p w14:paraId="2BFB208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响应报价：详见评分细则</w:t>
            </w:r>
          </w:p>
        </w:tc>
      </w:tr>
      <w:tr w14:paraId="43EA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06" w:hRule="atLeast"/>
          <w:jc w:val="center"/>
        </w:trPr>
        <w:tc>
          <w:tcPr>
            <w:tcW w:w="3499" w:type="dxa"/>
            <w:vAlign w:val="center"/>
          </w:tcPr>
          <w:p w14:paraId="7D9FE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评审基准价计算方法</w:t>
            </w:r>
          </w:p>
        </w:tc>
        <w:tc>
          <w:tcPr>
            <w:tcW w:w="5572" w:type="dxa"/>
            <w:vAlign w:val="center"/>
          </w:tcPr>
          <w:p w14:paraId="2CCFA9F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满足采购文件要求且报价最低的竞标报价为评审基准价</w:t>
            </w:r>
          </w:p>
        </w:tc>
      </w:tr>
      <w:tr w14:paraId="0AF5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3499" w:type="dxa"/>
            <w:vAlign w:val="center"/>
          </w:tcPr>
          <w:p w14:paraId="4D05E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评分因素</w:t>
            </w:r>
          </w:p>
        </w:tc>
        <w:tc>
          <w:tcPr>
            <w:tcW w:w="5572" w:type="dxa"/>
            <w:vAlign w:val="center"/>
          </w:tcPr>
          <w:p w14:paraId="3E5B2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评分标准</w:t>
            </w:r>
          </w:p>
        </w:tc>
      </w:tr>
      <w:tr w14:paraId="3D02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3499" w:type="dxa"/>
            <w:vAlign w:val="center"/>
          </w:tcPr>
          <w:p w14:paraId="65DCCB4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商务部分评分标准</w:t>
            </w:r>
          </w:p>
        </w:tc>
        <w:tc>
          <w:tcPr>
            <w:tcW w:w="5572" w:type="dxa"/>
            <w:vAlign w:val="center"/>
          </w:tcPr>
          <w:p w14:paraId="053B2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详见评分细则</w:t>
            </w:r>
          </w:p>
        </w:tc>
      </w:tr>
      <w:tr w14:paraId="6814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3499" w:type="dxa"/>
            <w:vAlign w:val="center"/>
          </w:tcPr>
          <w:p w14:paraId="798F8DE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技术部分评分标准</w:t>
            </w:r>
          </w:p>
        </w:tc>
        <w:tc>
          <w:tcPr>
            <w:tcW w:w="5572" w:type="dxa"/>
            <w:vAlign w:val="center"/>
          </w:tcPr>
          <w:p w14:paraId="6D30F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详见评分细则</w:t>
            </w:r>
          </w:p>
        </w:tc>
      </w:tr>
      <w:tr w14:paraId="57A5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3499" w:type="dxa"/>
            <w:vAlign w:val="center"/>
          </w:tcPr>
          <w:p w14:paraId="5AE4452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响应报价评分标准</w:t>
            </w:r>
          </w:p>
        </w:tc>
        <w:tc>
          <w:tcPr>
            <w:tcW w:w="5572" w:type="dxa"/>
            <w:vAlign w:val="center"/>
          </w:tcPr>
          <w:p w14:paraId="7B4FB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color w:val="auto"/>
                <w:kern w:val="0"/>
                <w:sz w:val="21"/>
                <w:szCs w:val="21"/>
              </w:rPr>
              <w:t>低价优先法</w:t>
            </w:r>
          </w:p>
        </w:tc>
      </w:tr>
      <w:tr w14:paraId="17ED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3499" w:type="dxa"/>
            <w:vAlign w:val="center"/>
          </w:tcPr>
          <w:p w14:paraId="2C7F6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条款内容</w:t>
            </w:r>
          </w:p>
        </w:tc>
        <w:tc>
          <w:tcPr>
            <w:tcW w:w="5572" w:type="dxa"/>
            <w:vAlign w:val="center"/>
          </w:tcPr>
          <w:p w14:paraId="6F9A8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编列内容</w:t>
            </w:r>
          </w:p>
        </w:tc>
      </w:tr>
      <w:tr w14:paraId="1DDC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3499" w:type="dxa"/>
            <w:vAlign w:val="center"/>
          </w:tcPr>
          <w:p w14:paraId="20F29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各供应商的最终得分计算办法</w:t>
            </w:r>
          </w:p>
        </w:tc>
        <w:tc>
          <w:tcPr>
            <w:tcW w:w="5572" w:type="dxa"/>
            <w:vAlign w:val="center"/>
          </w:tcPr>
          <w:p w14:paraId="786B0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bCs/>
                <w:color w:val="auto"/>
                <w:sz w:val="21"/>
                <w:szCs w:val="21"/>
              </w:rPr>
              <w:t>所有评委评分的算术平均值</w:t>
            </w:r>
          </w:p>
        </w:tc>
      </w:tr>
      <w:tr w14:paraId="69E3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3499" w:type="dxa"/>
            <w:vAlign w:val="center"/>
          </w:tcPr>
          <w:p w14:paraId="5BF0F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sz w:val="21"/>
                <w:szCs w:val="21"/>
              </w:rPr>
              <w:t>同品牌供应商获得</w:t>
            </w:r>
            <w:r>
              <w:rPr>
                <w:rFonts w:hint="eastAsia" w:ascii="仿宋" w:hAnsi="仿宋" w:eastAsia="仿宋" w:cs="仿宋"/>
                <w:color w:val="auto"/>
                <w:sz w:val="21"/>
                <w:szCs w:val="21"/>
                <w:lang w:eastAsia="zh-CN"/>
              </w:rPr>
              <w:t>成交供应商</w:t>
            </w:r>
            <w:r>
              <w:rPr>
                <w:rFonts w:hint="eastAsia" w:ascii="仿宋" w:hAnsi="仿宋" w:eastAsia="仿宋" w:cs="仿宋"/>
                <w:color w:val="auto"/>
                <w:sz w:val="21"/>
                <w:szCs w:val="21"/>
              </w:rPr>
              <w:t>推荐资格的确定方法</w:t>
            </w:r>
          </w:p>
        </w:tc>
        <w:tc>
          <w:tcPr>
            <w:tcW w:w="5572" w:type="dxa"/>
            <w:vAlign w:val="center"/>
          </w:tcPr>
          <w:p w14:paraId="000DA7F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rPr>
            </w:pPr>
            <w:r>
              <w:rPr>
                <w:rFonts w:hint="eastAsia" w:ascii="仿宋" w:hAnsi="仿宋" w:eastAsia="仿宋" w:cs="仿宋"/>
                <w:bCs/>
                <w:color w:val="auto"/>
                <w:sz w:val="21"/>
                <w:szCs w:val="21"/>
              </w:rPr>
              <w:t>提供相同品牌产品（核心产品）且通过符合性审查的不同</w:t>
            </w:r>
            <w:r>
              <w:rPr>
                <w:rFonts w:hint="eastAsia" w:ascii="仿宋" w:hAnsi="仿宋" w:eastAsia="仿宋" w:cs="仿宋"/>
                <w:bCs/>
                <w:color w:val="auto"/>
                <w:sz w:val="21"/>
                <w:szCs w:val="21"/>
                <w:lang w:eastAsia="zh-CN"/>
              </w:rPr>
              <w:t>供应商</w:t>
            </w:r>
            <w:r>
              <w:rPr>
                <w:rFonts w:hint="eastAsia" w:ascii="仿宋" w:hAnsi="仿宋" w:eastAsia="仿宋" w:cs="仿宋"/>
                <w:bCs/>
                <w:color w:val="auto"/>
                <w:sz w:val="21"/>
                <w:szCs w:val="21"/>
              </w:rPr>
              <w:t>参加同一合同项下投标的，按一家</w:t>
            </w:r>
            <w:r>
              <w:rPr>
                <w:rFonts w:hint="eastAsia" w:ascii="仿宋" w:hAnsi="仿宋" w:eastAsia="仿宋" w:cs="仿宋"/>
                <w:bCs/>
                <w:color w:val="auto"/>
                <w:sz w:val="21"/>
                <w:szCs w:val="21"/>
                <w:lang w:eastAsia="zh-CN"/>
              </w:rPr>
              <w:t>供应商</w:t>
            </w:r>
            <w:r>
              <w:rPr>
                <w:rFonts w:hint="eastAsia" w:ascii="仿宋" w:hAnsi="仿宋" w:eastAsia="仿宋" w:cs="仿宋"/>
                <w:bCs/>
                <w:color w:val="auto"/>
                <w:sz w:val="21"/>
                <w:szCs w:val="21"/>
              </w:rPr>
              <w:t>计算，评审后得分最高的同品牌</w:t>
            </w:r>
            <w:r>
              <w:rPr>
                <w:rFonts w:hint="eastAsia" w:ascii="仿宋" w:hAnsi="仿宋" w:eastAsia="仿宋" w:cs="仿宋"/>
                <w:bCs/>
                <w:color w:val="auto"/>
                <w:sz w:val="21"/>
                <w:szCs w:val="21"/>
                <w:lang w:eastAsia="zh-CN"/>
              </w:rPr>
              <w:t>供应商</w:t>
            </w:r>
            <w:r>
              <w:rPr>
                <w:rFonts w:hint="eastAsia" w:ascii="仿宋" w:hAnsi="仿宋" w:eastAsia="仿宋" w:cs="仿宋"/>
                <w:bCs/>
                <w:color w:val="auto"/>
                <w:sz w:val="21"/>
                <w:szCs w:val="21"/>
              </w:rPr>
              <w:t>获得</w:t>
            </w:r>
            <w:r>
              <w:rPr>
                <w:rFonts w:hint="eastAsia" w:ascii="仿宋" w:hAnsi="仿宋" w:eastAsia="仿宋" w:cs="仿宋"/>
                <w:bCs/>
                <w:color w:val="auto"/>
                <w:sz w:val="21"/>
                <w:szCs w:val="21"/>
                <w:lang w:eastAsia="zh-CN"/>
              </w:rPr>
              <w:t>供应商</w:t>
            </w:r>
            <w:r>
              <w:rPr>
                <w:rFonts w:hint="eastAsia" w:ascii="仿宋" w:hAnsi="仿宋" w:eastAsia="仿宋" w:cs="仿宋"/>
                <w:bCs/>
                <w:color w:val="auto"/>
                <w:sz w:val="21"/>
                <w:szCs w:val="21"/>
              </w:rPr>
              <w:t>推荐资格；评审得分相同的，由采购人或者采购人委托评标委员会采用表决的方式选出一家</w:t>
            </w:r>
            <w:r>
              <w:rPr>
                <w:rFonts w:hint="eastAsia" w:ascii="仿宋" w:hAnsi="仿宋" w:eastAsia="仿宋" w:cs="仿宋"/>
                <w:bCs/>
                <w:color w:val="auto"/>
                <w:sz w:val="21"/>
                <w:szCs w:val="21"/>
                <w:lang w:eastAsia="zh-CN"/>
              </w:rPr>
              <w:t>供应商</w:t>
            </w:r>
            <w:r>
              <w:rPr>
                <w:rFonts w:hint="eastAsia" w:ascii="仿宋" w:hAnsi="仿宋" w:eastAsia="仿宋" w:cs="仿宋"/>
                <w:bCs/>
                <w:color w:val="auto"/>
                <w:sz w:val="21"/>
                <w:szCs w:val="21"/>
              </w:rPr>
              <w:t>获得推荐资格，其他同品牌</w:t>
            </w:r>
            <w:r>
              <w:rPr>
                <w:rFonts w:hint="eastAsia" w:ascii="仿宋" w:hAnsi="仿宋" w:eastAsia="仿宋" w:cs="仿宋"/>
                <w:bCs/>
                <w:color w:val="auto"/>
                <w:sz w:val="21"/>
                <w:szCs w:val="21"/>
                <w:lang w:eastAsia="zh-CN"/>
              </w:rPr>
              <w:t>供应商</w:t>
            </w:r>
            <w:r>
              <w:rPr>
                <w:rFonts w:hint="eastAsia" w:ascii="仿宋" w:hAnsi="仿宋" w:eastAsia="仿宋" w:cs="仿宋"/>
                <w:bCs/>
                <w:color w:val="auto"/>
                <w:sz w:val="21"/>
                <w:szCs w:val="21"/>
              </w:rPr>
              <w:t>不作为中标候选人。</w:t>
            </w:r>
          </w:p>
        </w:tc>
      </w:tr>
      <w:tr w14:paraId="6E53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3499" w:type="dxa"/>
            <w:vAlign w:val="center"/>
          </w:tcPr>
          <w:p w14:paraId="202E5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sz w:val="21"/>
                <w:szCs w:val="21"/>
              </w:rPr>
              <w:t>供应商最后得分相同时对供应商进行排序的方法</w:t>
            </w:r>
          </w:p>
        </w:tc>
        <w:tc>
          <w:tcPr>
            <w:tcW w:w="5572" w:type="dxa"/>
            <w:vAlign w:val="center"/>
          </w:tcPr>
          <w:p w14:paraId="73DF11B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snapToGrid w:val="0"/>
                <w:color w:val="auto"/>
                <w:kern w:val="0"/>
                <w:sz w:val="21"/>
                <w:szCs w:val="21"/>
                <w:lang w:val="zh-CN"/>
              </w:rPr>
            </w:pPr>
            <w:r>
              <w:rPr>
                <w:rFonts w:hint="eastAsia" w:ascii="仿宋" w:hAnsi="仿宋" w:eastAsia="仿宋" w:cs="仿宋"/>
                <w:color w:val="auto"/>
                <w:sz w:val="21"/>
                <w:szCs w:val="21"/>
              </w:rPr>
              <w:t>得分相同的供应商，按最终报价由低到高顺序排列。得分且报价相同的，按技术指标优劣顺序排列。技术指标得分依然相同的，由全体评委进行表决，产生名次。</w:t>
            </w:r>
          </w:p>
        </w:tc>
      </w:tr>
    </w:tbl>
    <w:p w14:paraId="427A7578">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rPr>
      </w:pPr>
      <w:bookmarkStart w:id="213" w:name="_Toc149035950"/>
    </w:p>
    <w:p w14:paraId="79ECFDCF">
      <w:pPr>
        <w:keepNext w:val="0"/>
        <w:keepLines w:val="0"/>
        <w:pageBreakBefore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color w:val="auto"/>
          <w:sz w:val="21"/>
          <w:szCs w:val="21"/>
        </w:rPr>
      </w:pPr>
      <w:bookmarkStart w:id="214" w:name="_Toc30564"/>
      <w:r>
        <w:rPr>
          <w:rFonts w:hint="eastAsia" w:ascii="仿宋" w:hAnsi="仿宋" w:eastAsia="仿宋" w:cs="仿宋"/>
          <w:b/>
          <w:color w:val="auto"/>
          <w:sz w:val="21"/>
          <w:szCs w:val="21"/>
        </w:rPr>
        <w:t>评分细则</w:t>
      </w:r>
      <w:bookmarkEnd w:id="214"/>
    </w:p>
    <w:tbl>
      <w:tblPr>
        <w:tblStyle w:val="20"/>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09"/>
        <w:gridCol w:w="6223"/>
      </w:tblGrid>
      <w:tr w14:paraId="031D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980" w:type="dxa"/>
            <w:gridSpan w:val="2"/>
            <w:vAlign w:val="center"/>
          </w:tcPr>
          <w:p w14:paraId="0248E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bookmarkStart w:id="330" w:name="_GoBack"/>
            <w:r>
              <w:rPr>
                <w:rFonts w:hint="eastAsia" w:ascii="仿宋" w:hAnsi="仿宋" w:eastAsia="仿宋" w:cs="仿宋"/>
                <w:color w:val="auto"/>
                <w:sz w:val="21"/>
                <w:szCs w:val="21"/>
              </w:rPr>
              <w:t>评审项目</w:t>
            </w:r>
          </w:p>
        </w:tc>
        <w:tc>
          <w:tcPr>
            <w:tcW w:w="709" w:type="dxa"/>
            <w:vAlign w:val="center"/>
          </w:tcPr>
          <w:p w14:paraId="7C2D5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分数</w:t>
            </w:r>
          </w:p>
        </w:tc>
        <w:tc>
          <w:tcPr>
            <w:tcW w:w="6223" w:type="dxa"/>
            <w:vAlign w:val="center"/>
          </w:tcPr>
          <w:p w14:paraId="484B5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评分标准说明</w:t>
            </w:r>
          </w:p>
        </w:tc>
      </w:tr>
      <w:tr w14:paraId="345D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04" w:type="dxa"/>
            <w:vMerge w:val="restart"/>
            <w:vAlign w:val="center"/>
          </w:tcPr>
          <w:p w14:paraId="70ADA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技术评审</w:t>
            </w:r>
          </w:p>
        </w:tc>
        <w:tc>
          <w:tcPr>
            <w:tcW w:w="1276" w:type="dxa"/>
            <w:vMerge w:val="restart"/>
            <w:vAlign w:val="center"/>
          </w:tcPr>
          <w:p w14:paraId="210B1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技术响应</w:t>
            </w:r>
          </w:p>
        </w:tc>
        <w:tc>
          <w:tcPr>
            <w:tcW w:w="709" w:type="dxa"/>
            <w:vAlign w:val="center"/>
          </w:tcPr>
          <w:p w14:paraId="5E3AA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18</w:t>
            </w:r>
          </w:p>
        </w:tc>
        <w:tc>
          <w:tcPr>
            <w:tcW w:w="6223" w:type="dxa"/>
            <w:vAlign w:val="center"/>
          </w:tcPr>
          <w:p w14:paraId="53C418D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技术指标全部满足</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采购需求“</w:t>
            </w:r>
            <w:r>
              <w:rPr>
                <w:rFonts w:hint="eastAsia" w:ascii="仿宋" w:hAnsi="仿宋" w:eastAsia="仿宋" w:cs="仿宋"/>
                <w:color w:val="auto"/>
                <w:sz w:val="21"/>
                <w:szCs w:val="21"/>
                <w:lang w:val="zh-CN"/>
              </w:rPr>
              <w:t>二、技术要求</w:t>
            </w:r>
            <w:r>
              <w:rPr>
                <w:rFonts w:hint="eastAsia" w:ascii="仿宋" w:hAnsi="仿宋" w:eastAsia="仿宋" w:cs="仿宋"/>
                <w:color w:val="auto"/>
                <w:sz w:val="21"/>
                <w:szCs w:val="21"/>
              </w:rPr>
              <w:t>”中▲号技术要求的（共</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rPr>
              <w:t>项），得</w:t>
            </w:r>
            <w:r>
              <w:rPr>
                <w:rFonts w:hint="eastAsia" w:ascii="仿宋" w:hAnsi="仿宋" w:eastAsia="仿宋" w:cs="仿宋"/>
                <w:color w:val="auto"/>
                <w:sz w:val="21"/>
                <w:szCs w:val="21"/>
                <w:lang w:val="en-US" w:eastAsia="zh-CN"/>
              </w:rPr>
              <w:t>18</w:t>
            </w:r>
            <w:r>
              <w:rPr>
                <w:rFonts w:hint="eastAsia" w:ascii="仿宋" w:hAnsi="仿宋" w:eastAsia="仿宋" w:cs="仿宋"/>
                <w:color w:val="auto"/>
                <w:sz w:val="21"/>
                <w:szCs w:val="21"/>
              </w:rPr>
              <w:t>分；▲号技术要求每有一项负偏离扣</w:t>
            </w:r>
            <w:r>
              <w:rPr>
                <w:rFonts w:hint="eastAsia" w:ascii="仿宋" w:hAnsi="仿宋" w:eastAsia="仿宋" w:cs="仿宋"/>
                <w:color w:val="auto"/>
                <w:sz w:val="21"/>
                <w:szCs w:val="21"/>
                <w:lang w:val="en-US" w:eastAsia="zh-CN"/>
              </w:rPr>
              <w:t>6</w:t>
            </w:r>
            <w:r>
              <w:rPr>
                <w:rFonts w:hint="eastAsia" w:ascii="仿宋" w:hAnsi="仿宋" w:eastAsia="仿宋" w:cs="仿宋"/>
                <w:color w:val="auto"/>
                <w:sz w:val="21"/>
                <w:szCs w:val="21"/>
              </w:rPr>
              <w:t>分，本项最低得0分。</w:t>
            </w:r>
          </w:p>
          <w:p w14:paraId="323216C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注：需提供能证明所投产品满足▲号技术要求的证明材料（如采购需求中有规定的，以采购需求中规定为准），否则视为负偏离。</w:t>
            </w:r>
          </w:p>
        </w:tc>
      </w:tr>
      <w:tr w14:paraId="1FCF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04" w:type="dxa"/>
            <w:vMerge w:val="continue"/>
            <w:vAlign w:val="center"/>
          </w:tcPr>
          <w:p w14:paraId="717DA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p>
        </w:tc>
        <w:tc>
          <w:tcPr>
            <w:tcW w:w="1276" w:type="dxa"/>
            <w:vMerge w:val="continue"/>
            <w:vAlign w:val="center"/>
          </w:tcPr>
          <w:p w14:paraId="59A98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p>
        </w:tc>
        <w:tc>
          <w:tcPr>
            <w:tcW w:w="709" w:type="dxa"/>
            <w:vAlign w:val="center"/>
          </w:tcPr>
          <w:p w14:paraId="5B57D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21</w:t>
            </w:r>
          </w:p>
        </w:tc>
        <w:tc>
          <w:tcPr>
            <w:tcW w:w="6223" w:type="dxa"/>
            <w:vAlign w:val="center"/>
          </w:tcPr>
          <w:p w14:paraId="37EE8D9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技术指标全部满足</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采购需求“</w:t>
            </w:r>
            <w:r>
              <w:rPr>
                <w:rFonts w:hint="eastAsia" w:ascii="仿宋" w:hAnsi="仿宋" w:eastAsia="仿宋" w:cs="仿宋"/>
                <w:color w:val="auto"/>
                <w:sz w:val="21"/>
                <w:szCs w:val="21"/>
                <w:lang w:val="zh-CN"/>
              </w:rPr>
              <w:t>二、技术要求</w:t>
            </w:r>
            <w:r>
              <w:rPr>
                <w:rFonts w:hint="eastAsia" w:ascii="仿宋" w:hAnsi="仿宋" w:eastAsia="仿宋" w:cs="仿宋"/>
                <w:color w:val="auto"/>
                <w:sz w:val="21"/>
                <w:szCs w:val="21"/>
              </w:rPr>
              <w:t>”中非▲号技术要求（共</w:t>
            </w:r>
            <w:r>
              <w:rPr>
                <w:rFonts w:hint="eastAsia" w:ascii="仿宋" w:hAnsi="仿宋" w:eastAsia="仿宋" w:cs="仿宋"/>
                <w:color w:val="auto"/>
                <w:sz w:val="21"/>
                <w:szCs w:val="21"/>
                <w:lang w:val="en-US" w:eastAsia="zh-CN"/>
              </w:rPr>
              <w:t>7</w:t>
            </w:r>
            <w:r>
              <w:rPr>
                <w:rFonts w:hint="eastAsia" w:ascii="仿宋" w:hAnsi="仿宋" w:eastAsia="仿宋" w:cs="仿宋"/>
                <w:color w:val="auto"/>
                <w:sz w:val="21"/>
                <w:szCs w:val="21"/>
              </w:rPr>
              <w:t>项）的得</w:t>
            </w:r>
            <w:r>
              <w:rPr>
                <w:rFonts w:hint="eastAsia" w:ascii="仿宋" w:hAnsi="仿宋" w:eastAsia="仿宋" w:cs="仿宋"/>
                <w:color w:val="auto"/>
                <w:sz w:val="21"/>
                <w:szCs w:val="21"/>
                <w:lang w:val="en-US" w:eastAsia="zh-CN"/>
              </w:rPr>
              <w:t>21</w:t>
            </w:r>
            <w:r>
              <w:rPr>
                <w:rFonts w:hint="eastAsia" w:ascii="仿宋" w:hAnsi="仿宋" w:eastAsia="仿宋" w:cs="仿宋"/>
                <w:color w:val="auto"/>
                <w:sz w:val="21"/>
                <w:szCs w:val="21"/>
              </w:rPr>
              <w:t>分；非▲号技术要求每有一项负偏离扣</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rPr>
              <w:t>分，本项最低得0分。</w:t>
            </w:r>
          </w:p>
        </w:tc>
      </w:tr>
      <w:tr w14:paraId="00FF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4" w:type="dxa"/>
            <w:vMerge w:val="restart"/>
            <w:vAlign w:val="center"/>
          </w:tcPr>
          <w:p w14:paraId="69B98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商务评审</w:t>
            </w:r>
          </w:p>
        </w:tc>
        <w:tc>
          <w:tcPr>
            <w:tcW w:w="1276" w:type="dxa"/>
            <w:vAlign w:val="center"/>
          </w:tcPr>
          <w:p w14:paraId="7049F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投标产品业绩情况</w:t>
            </w:r>
          </w:p>
        </w:tc>
        <w:tc>
          <w:tcPr>
            <w:tcW w:w="709" w:type="dxa"/>
            <w:vAlign w:val="center"/>
          </w:tcPr>
          <w:p w14:paraId="5A6B6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7</w:t>
            </w:r>
          </w:p>
        </w:tc>
        <w:tc>
          <w:tcPr>
            <w:tcW w:w="6223" w:type="dxa"/>
            <w:vAlign w:val="center"/>
          </w:tcPr>
          <w:p w14:paraId="2EEC648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2023年1月1日至今投标产品</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以核心产品为准</w:t>
            </w: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rPr>
              <w:t>业绩情况进行打分（要求提供合同复印件作为证明材料,以签订合同的时间为准）：每有一个得1分，满分</w:t>
            </w:r>
            <w:r>
              <w:rPr>
                <w:rFonts w:hint="eastAsia" w:ascii="仿宋" w:hAnsi="仿宋" w:eastAsia="仿宋" w:cs="仿宋"/>
                <w:color w:val="auto"/>
                <w:sz w:val="21"/>
                <w:szCs w:val="21"/>
                <w:lang w:val="en-US" w:eastAsia="zh-CN"/>
              </w:rPr>
              <w:t>7</w:t>
            </w:r>
            <w:r>
              <w:rPr>
                <w:rFonts w:hint="eastAsia" w:ascii="仿宋" w:hAnsi="仿宋" w:eastAsia="仿宋" w:cs="仿宋"/>
                <w:color w:val="auto"/>
                <w:sz w:val="21"/>
                <w:szCs w:val="21"/>
              </w:rPr>
              <w:t>分。</w:t>
            </w:r>
          </w:p>
        </w:tc>
      </w:tr>
      <w:tr w14:paraId="22AF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4" w:type="dxa"/>
            <w:vMerge w:val="continue"/>
            <w:vAlign w:val="center"/>
          </w:tcPr>
          <w:p w14:paraId="5086C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p>
        </w:tc>
        <w:tc>
          <w:tcPr>
            <w:tcW w:w="1276" w:type="dxa"/>
            <w:vAlign w:val="center"/>
          </w:tcPr>
          <w:p w14:paraId="6ED76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交货及安装方案</w:t>
            </w:r>
          </w:p>
        </w:tc>
        <w:tc>
          <w:tcPr>
            <w:tcW w:w="709" w:type="dxa"/>
            <w:vAlign w:val="center"/>
          </w:tcPr>
          <w:p w14:paraId="778A2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8</w:t>
            </w:r>
          </w:p>
        </w:tc>
        <w:tc>
          <w:tcPr>
            <w:tcW w:w="6223" w:type="dxa"/>
            <w:vAlign w:val="center"/>
          </w:tcPr>
          <w:p w14:paraId="005898D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1、评审内容：</w:t>
            </w: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提供交货安装的方案包含：</w:t>
            </w:r>
          </w:p>
          <w:p w14:paraId="28E7FDB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（1）交货安装流程规划：需明确交货安装流程、交货物流安排、交货质量保障措施等内容；</w:t>
            </w:r>
          </w:p>
          <w:p w14:paraId="7D2C788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（2）交货安装人员设施投入计划：需明确拟投入交货人员分工职责、交货安全配套设施投入等内容。</w:t>
            </w:r>
          </w:p>
          <w:p w14:paraId="49C99D4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2、评审标准：</w:t>
            </w:r>
          </w:p>
          <w:p w14:paraId="1E407F3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每条从以下维度进行综合评价：①符合度：需对以上内容进行充分响应，内容贴合项目实际，不得提供无关内容；②完整性：需结合需求，进行全方面的描述，涵盖项目完成过程中的各项主要或配套内容等，不得缺项漏项。</w:t>
            </w:r>
          </w:p>
          <w:p w14:paraId="546D2F4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每条完全满足以上评价要求的得</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分，满足1项评价标准得</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分；其他不得分。本项最高得</w:t>
            </w:r>
            <w:r>
              <w:rPr>
                <w:rFonts w:hint="eastAsia" w:ascii="仿宋" w:hAnsi="仿宋" w:eastAsia="仿宋" w:cs="仿宋"/>
                <w:color w:val="auto"/>
                <w:sz w:val="21"/>
                <w:szCs w:val="21"/>
                <w:lang w:val="en-US" w:eastAsia="zh-CN"/>
              </w:rPr>
              <w:t>8</w:t>
            </w:r>
            <w:r>
              <w:rPr>
                <w:rFonts w:hint="eastAsia" w:ascii="仿宋" w:hAnsi="仿宋" w:eastAsia="仿宋" w:cs="仿宋"/>
                <w:color w:val="auto"/>
                <w:sz w:val="21"/>
                <w:szCs w:val="21"/>
              </w:rPr>
              <w:t>分。</w:t>
            </w:r>
          </w:p>
          <w:p w14:paraId="3F77E7D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（2）不满足情况如下:</w:t>
            </w:r>
          </w:p>
          <w:p w14:paraId="4C1FF4C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响应方案和采购需求不符或存在明显的响应缺项，不得分，2)只对方案作出标题式的简单阐述，并未展开分析或列明可行的具体解决方案，不得分;3)部分资料、数据等响应方案的支撑材料提供过于简单，难于采信，不得分;4)对项目内容的响应进行泛化描述，缺少针对性，不得分。</w:t>
            </w:r>
          </w:p>
        </w:tc>
      </w:tr>
      <w:tr w14:paraId="4D37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4" w:type="dxa"/>
            <w:vMerge w:val="continue"/>
            <w:vAlign w:val="center"/>
          </w:tcPr>
          <w:p w14:paraId="7595B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p>
        </w:tc>
        <w:tc>
          <w:tcPr>
            <w:tcW w:w="1276" w:type="dxa"/>
            <w:vAlign w:val="center"/>
          </w:tcPr>
          <w:p w14:paraId="1AB28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售后服务</w:t>
            </w:r>
          </w:p>
        </w:tc>
        <w:tc>
          <w:tcPr>
            <w:tcW w:w="709" w:type="dxa"/>
            <w:vAlign w:val="center"/>
          </w:tcPr>
          <w:p w14:paraId="2136A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8</w:t>
            </w:r>
          </w:p>
        </w:tc>
        <w:tc>
          <w:tcPr>
            <w:tcW w:w="6223" w:type="dxa"/>
            <w:vAlign w:val="center"/>
          </w:tcPr>
          <w:p w14:paraId="75D81AD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提供的售后服务保障措施方案包含：</w:t>
            </w:r>
          </w:p>
          <w:p w14:paraId="4B8071F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（1）售后服务团队及管理流程：需明确售后服务团队、分工和职责，售后管理流程及服务保障措施等内容。</w:t>
            </w:r>
          </w:p>
          <w:p w14:paraId="2AF4A6D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（2）应急售后处理方案：需明确应急情况下的售后响应措施，紧急服务保障及应急储备等内容。</w:t>
            </w:r>
          </w:p>
          <w:p w14:paraId="11C6607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2、评审标准：</w:t>
            </w:r>
          </w:p>
          <w:p w14:paraId="6347F34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每条从以下维度进行综合评价：①符合度：需对以上内容进行充分响应，内容贴合项目实际，不得提供无关内容；②完整性：需结合需求，进行全方面的描述，涵盖项目完成过程中的各项主要或配套内容等，不得缺项漏项。</w:t>
            </w:r>
          </w:p>
          <w:p w14:paraId="1F01284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每条完全满足以上评价要求的得</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分，满足1项评价标准得</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分；其他不得分。本项最高得</w:t>
            </w:r>
            <w:r>
              <w:rPr>
                <w:rFonts w:hint="eastAsia" w:ascii="仿宋" w:hAnsi="仿宋" w:eastAsia="仿宋" w:cs="仿宋"/>
                <w:color w:val="auto"/>
                <w:sz w:val="21"/>
                <w:szCs w:val="21"/>
                <w:lang w:val="en-US" w:eastAsia="zh-CN"/>
              </w:rPr>
              <w:t>8</w:t>
            </w:r>
            <w:r>
              <w:rPr>
                <w:rFonts w:hint="eastAsia" w:ascii="仿宋" w:hAnsi="仿宋" w:eastAsia="仿宋" w:cs="仿宋"/>
                <w:color w:val="auto"/>
                <w:sz w:val="21"/>
                <w:szCs w:val="21"/>
              </w:rPr>
              <w:t>分。</w:t>
            </w:r>
          </w:p>
          <w:p w14:paraId="59FF241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（2）不满足情况如下:</w:t>
            </w:r>
          </w:p>
          <w:p w14:paraId="7FD1999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响应方案和采购需求不符或存在明显的响应缺项，不得分，2)只对方案作出标题式的简单阐述，并未展开分析或列明可行的具体解决方案，不得分;3)部分资料、数据等响应方案的支撑材料提供过于简单，难于采信，不得分;4)对项目内容的响应进行泛化描述，缺少针对性，不得分。</w:t>
            </w:r>
          </w:p>
        </w:tc>
      </w:tr>
      <w:tr w14:paraId="39C5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04" w:type="dxa"/>
            <w:vMerge w:val="continue"/>
            <w:vAlign w:val="center"/>
          </w:tcPr>
          <w:p w14:paraId="695ED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p>
        </w:tc>
        <w:tc>
          <w:tcPr>
            <w:tcW w:w="1276" w:type="dxa"/>
            <w:vAlign w:val="center"/>
          </w:tcPr>
          <w:p w14:paraId="5F03B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rPr>
              <w:t>培训</w:t>
            </w:r>
            <w:r>
              <w:rPr>
                <w:rFonts w:hint="eastAsia" w:ascii="仿宋" w:hAnsi="仿宋" w:eastAsia="仿宋" w:cs="仿宋"/>
                <w:color w:val="auto"/>
                <w:sz w:val="21"/>
                <w:szCs w:val="21"/>
                <w:lang w:val="en-US" w:eastAsia="zh-CN"/>
              </w:rPr>
              <w:t>方案</w:t>
            </w:r>
          </w:p>
        </w:tc>
        <w:tc>
          <w:tcPr>
            <w:tcW w:w="709" w:type="dxa"/>
            <w:vAlign w:val="center"/>
          </w:tcPr>
          <w:p w14:paraId="12F76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8</w:t>
            </w:r>
          </w:p>
        </w:tc>
        <w:tc>
          <w:tcPr>
            <w:tcW w:w="6223" w:type="dxa"/>
            <w:vAlign w:val="center"/>
          </w:tcPr>
          <w:p w14:paraId="7E54F8A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提供培训方案包含：</w:t>
            </w:r>
          </w:p>
          <w:p w14:paraId="3DA08DE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（1）培训时间计划安排：包含培训时间安排、培训对象及分批安排、培训效果保障措施等内容。</w:t>
            </w:r>
          </w:p>
          <w:p w14:paraId="1E7B517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lang w:eastAsia="zh-CN"/>
              </w:rPr>
              <w:t>）培训内容及方式：包含货物安装调试后的使用操作培训、日常维护保养培训、常见故障排除培训，以及培训方式</w:t>
            </w:r>
            <w:r>
              <w:rPr>
                <w:rFonts w:hint="eastAsia" w:ascii="仿宋" w:hAnsi="仿宋" w:eastAsia="仿宋" w:cs="仿宋"/>
                <w:color w:val="auto"/>
                <w:sz w:val="21"/>
                <w:szCs w:val="21"/>
                <w:lang w:val="en-US" w:eastAsia="zh-CN"/>
              </w:rPr>
              <w:t>等内容。</w:t>
            </w:r>
          </w:p>
          <w:p w14:paraId="46B0343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2、评审标准：</w:t>
            </w:r>
          </w:p>
          <w:p w14:paraId="59AEAC1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每条从以下维度进行综合评价：①符合度：需对以上内容进行充分响应，内容贴合项目实际，不得提供无关内容；②完整性：需结合需求，进行全方面的描述，涵盖项目完成过程中的各项主要或配套内容等，不得缺项漏项。</w:t>
            </w:r>
          </w:p>
          <w:p w14:paraId="07F80D9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每条完全满足以上评价要求的得</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分，满足1项评价标准得</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分；其他不得分。本项最高得</w:t>
            </w:r>
            <w:r>
              <w:rPr>
                <w:rFonts w:hint="eastAsia" w:ascii="仿宋" w:hAnsi="仿宋" w:eastAsia="仿宋" w:cs="仿宋"/>
                <w:color w:val="auto"/>
                <w:sz w:val="21"/>
                <w:szCs w:val="21"/>
                <w:lang w:val="en-US" w:eastAsia="zh-CN"/>
              </w:rPr>
              <w:t>8</w:t>
            </w:r>
            <w:r>
              <w:rPr>
                <w:rFonts w:hint="eastAsia" w:ascii="仿宋" w:hAnsi="仿宋" w:eastAsia="仿宋" w:cs="仿宋"/>
                <w:color w:val="auto"/>
                <w:sz w:val="21"/>
                <w:szCs w:val="21"/>
              </w:rPr>
              <w:t>分。</w:t>
            </w:r>
          </w:p>
          <w:p w14:paraId="37230FD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（2）不满足情况如下:</w:t>
            </w:r>
          </w:p>
          <w:p w14:paraId="2F0E28A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响应方案和采购需求不符或存在明显的响应缺项，不得分，2)只对方案作出标题式的简单阐述，并未展开分析或列明可行的具体解决方案，不得分;3)部分资料、数据等响应方案的支撑材料提供过于简单，难于采信，不得分;4)对项目内容的响应进行泛化描述，缺少针对性，不得分。</w:t>
            </w:r>
          </w:p>
        </w:tc>
      </w:tr>
      <w:tr w14:paraId="43F3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4" w:type="dxa"/>
            <w:vAlign w:val="center"/>
          </w:tcPr>
          <w:p w14:paraId="365A6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报价评审</w:t>
            </w:r>
          </w:p>
        </w:tc>
        <w:tc>
          <w:tcPr>
            <w:tcW w:w="1276" w:type="dxa"/>
            <w:vAlign w:val="center"/>
          </w:tcPr>
          <w:p w14:paraId="737B9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报价</w:t>
            </w:r>
          </w:p>
        </w:tc>
        <w:tc>
          <w:tcPr>
            <w:tcW w:w="709" w:type="dxa"/>
            <w:vAlign w:val="center"/>
          </w:tcPr>
          <w:p w14:paraId="527F7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30</w:t>
            </w:r>
          </w:p>
        </w:tc>
        <w:tc>
          <w:tcPr>
            <w:tcW w:w="6223" w:type="dxa"/>
            <w:vAlign w:val="center"/>
          </w:tcPr>
          <w:p w14:paraId="175D7C1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满足</w:t>
            </w:r>
            <w:r>
              <w:rPr>
                <w:rFonts w:hint="eastAsia" w:ascii="仿宋" w:hAnsi="仿宋" w:eastAsia="仿宋" w:cs="仿宋"/>
                <w:color w:val="auto"/>
                <w:sz w:val="21"/>
                <w:szCs w:val="21"/>
                <w:lang w:eastAsia="zh-CN"/>
              </w:rPr>
              <w:t>采购文件</w:t>
            </w:r>
            <w:r>
              <w:rPr>
                <w:rFonts w:hint="eastAsia" w:ascii="仿宋" w:hAnsi="仿宋" w:eastAsia="仿宋" w:cs="仿宋"/>
                <w:color w:val="auto"/>
                <w:sz w:val="21"/>
                <w:szCs w:val="21"/>
              </w:rPr>
              <w:t>要求且报价最低的投标报价为评标基准价，其价格分为满分。</w:t>
            </w: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的价格分按照下列公式计算：投标报价得分＝（评标基准价/投标报价）×价格权值×100。（本项目价格权重为30%）</w:t>
            </w:r>
          </w:p>
        </w:tc>
      </w:tr>
      <w:bookmarkEnd w:id="330"/>
    </w:tbl>
    <w:p w14:paraId="5AE34ECF">
      <w:pPr>
        <w:bidi w:val="0"/>
        <w:rPr>
          <w:rFonts w:hint="eastAsia"/>
          <w:color w:val="auto"/>
        </w:rPr>
      </w:pPr>
    </w:p>
    <w:p w14:paraId="12877590">
      <w:pPr>
        <w:bidi w:val="0"/>
        <w:rPr>
          <w:rFonts w:hint="eastAsia"/>
          <w:color w:val="auto"/>
        </w:rPr>
      </w:pPr>
    </w:p>
    <w:p w14:paraId="04D7C49D">
      <w:pPr>
        <w:spacing w:line="360" w:lineRule="auto"/>
        <w:outlineLvl w:val="1"/>
        <w:rPr>
          <w:rFonts w:ascii="仿宋" w:hAnsi="仿宋" w:eastAsia="仿宋" w:cs="宋体"/>
          <w:b/>
          <w:color w:val="auto"/>
          <w:szCs w:val="21"/>
        </w:rPr>
      </w:pPr>
      <w:bookmarkStart w:id="215" w:name="_Toc13429"/>
      <w:r>
        <w:rPr>
          <w:rFonts w:hint="eastAsia" w:ascii="仿宋" w:hAnsi="仿宋" w:eastAsia="仿宋" w:cs="宋体"/>
          <w:b/>
          <w:color w:val="auto"/>
          <w:szCs w:val="21"/>
        </w:rPr>
        <w:t>评定办法</w:t>
      </w:r>
      <w:bookmarkEnd w:id="213"/>
      <w:bookmarkEnd w:id="215"/>
    </w:p>
    <w:p w14:paraId="7B10FABA">
      <w:pPr>
        <w:numPr>
          <w:ilvl w:val="3"/>
          <w:numId w:val="28"/>
        </w:numPr>
        <w:tabs>
          <w:tab w:val="left" w:pos="540"/>
        </w:tabs>
        <w:spacing w:line="400" w:lineRule="exact"/>
        <w:ind w:left="540" w:hanging="540"/>
        <w:rPr>
          <w:rFonts w:ascii="仿宋" w:hAnsi="仿宋" w:eastAsia="仿宋" w:cs="宋体"/>
          <w:color w:val="auto"/>
          <w:szCs w:val="21"/>
        </w:rPr>
      </w:pPr>
      <w:r>
        <w:rPr>
          <w:rFonts w:hint="eastAsia" w:ascii="仿宋" w:hAnsi="仿宋" w:eastAsia="仿宋" w:cs="宋体"/>
          <w:color w:val="auto"/>
          <w:szCs w:val="21"/>
        </w:rPr>
        <w:t>初步审查标准</w:t>
      </w:r>
    </w:p>
    <w:p w14:paraId="24660935">
      <w:pPr>
        <w:numPr>
          <w:ilvl w:val="1"/>
          <w:numId w:val="29"/>
        </w:numPr>
        <w:tabs>
          <w:tab w:val="clear" w:pos="360"/>
        </w:tabs>
        <w:spacing w:line="400" w:lineRule="exact"/>
        <w:ind w:left="540" w:hanging="540"/>
        <w:rPr>
          <w:rFonts w:ascii="仿宋" w:hAnsi="仿宋" w:eastAsia="仿宋" w:cs="宋体"/>
          <w:color w:val="auto"/>
          <w:szCs w:val="21"/>
        </w:rPr>
      </w:pPr>
      <w:r>
        <w:rPr>
          <w:rFonts w:hint="eastAsia" w:ascii="仿宋" w:hAnsi="仿宋" w:eastAsia="仿宋" w:cs="宋体"/>
          <w:color w:val="auto"/>
          <w:szCs w:val="21"/>
        </w:rPr>
        <w:t>资格性审查标准：见评定办法前附表。</w:t>
      </w:r>
    </w:p>
    <w:p w14:paraId="4900D043">
      <w:pPr>
        <w:numPr>
          <w:ilvl w:val="1"/>
          <w:numId w:val="29"/>
        </w:numPr>
        <w:tabs>
          <w:tab w:val="clear" w:pos="360"/>
        </w:tabs>
        <w:spacing w:line="400" w:lineRule="exact"/>
        <w:ind w:left="540" w:hanging="540"/>
        <w:rPr>
          <w:rFonts w:ascii="仿宋" w:hAnsi="仿宋" w:eastAsia="仿宋" w:cs="宋体"/>
          <w:color w:val="auto"/>
          <w:szCs w:val="21"/>
        </w:rPr>
      </w:pPr>
      <w:r>
        <w:rPr>
          <w:rFonts w:hint="eastAsia" w:ascii="仿宋" w:hAnsi="仿宋" w:eastAsia="仿宋" w:cs="宋体"/>
          <w:color w:val="auto"/>
          <w:szCs w:val="21"/>
        </w:rPr>
        <w:t>符合性审查标准：见评定办法前附表。</w:t>
      </w:r>
    </w:p>
    <w:p w14:paraId="4DB1E322">
      <w:pPr>
        <w:numPr>
          <w:ilvl w:val="1"/>
          <w:numId w:val="29"/>
        </w:numPr>
        <w:tabs>
          <w:tab w:val="clear" w:pos="360"/>
        </w:tabs>
        <w:spacing w:line="400" w:lineRule="exact"/>
        <w:ind w:left="540" w:hanging="540"/>
        <w:rPr>
          <w:rFonts w:ascii="仿宋" w:hAnsi="仿宋" w:eastAsia="仿宋" w:cs="宋体"/>
          <w:color w:val="auto"/>
          <w:szCs w:val="21"/>
        </w:rPr>
      </w:pPr>
      <w:r>
        <w:rPr>
          <w:rFonts w:hint="eastAsia" w:ascii="仿宋" w:hAnsi="仿宋" w:eastAsia="仿宋" w:cs="宋体"/>
          <w:color w:val="auto"/>
          <w:szCs w:val="21"/>
        </w:rPr>
        <w:t>确定磋商供应商进行最后报价：见评定方法前附表。</w:t>
      </w:r>
    </w:p>
    <w:p w14:paraId="4989396A">
      <w:pPr>
        <w:numPr>
          <w:ilvl w:val="3"/>
          <w:numId w:val="28"/>
        </w:numPr>
        <w:tabs>
          <w:tab w:val="left" w:pos="540"/>
        </w:tabs>
        <w:spacing w:line="400" w:lineRule="exact"/>
        <w:ind w:left="540" w:hanging="540"/>
        <w:rPr>
          <w:rFonts w:ascii="仿宋" w:hAnsi="仿宋" w:eastAsia="仿宋" w:cs="宋体"/>
          <w:color w:val="auto"/>
          <w:szCs w:val="21"/>
        </w:rPr>
      </w:pPr>
      <w:r>
        <w:rPr>
          <w:rFonts w:hint="eastAsia" w:ascii="仿宋" w:hAnsi="仿宋" w:eastAsia="仿宋" w:cs="宋体"/>
          <w:color w:val="auto"/>
          <w:szCs w:val="21"/>
        </w:rPr>
        <w:t>评定方法：见评定办法前附表。</w:t>
      </w:r>
    </w:p>
    <w:p w14:paraId="482C0635">
      <w:pPr>
        <w:spacing w:line="400" w:lineRule="exact"/>
        <w:ind w:firstLine="420" w:firstLineChars="200"/>
        <w:rPr>
          <w:rFonts w:ascii="仿宋" w:hAnsi="仿宋" w:eastAsia="仿宋" w:cs="宋体"/>
          <w:color w:val="auto"/>
          <w:szCs w:val="21"/>
        </w:rPr>
      </w:pPr>
      <w:r>
        <w:rPr>
          <w:rFonts w:hint="eastAsia" w:ascii="仿宋" w:hAnsi="仿宋" w:eastAsia="仿宋" w:cs="宋体"/>
          <w:color w:val="auto"/>
          <w:szCs w:val="21"/>
        </w:rPr>
        <w:t>2.2.1 分值构成</w:t>
      </w:r>
    </w:p>
    <w:p w14:paraId="65380DFE">
      <w:pPr>
        <w:spacing w:line="360" w:lineRule="auto"/>
        <w:ind w:firstLine="718" w:firstLineChars="342"/>
        <w:rPr>
          <w:rFonts w:ascii="仿宋" w:hAnsi="仿宋" w:eastAsia="仿宋" w:cs="宋体"/>
          <w:color w:val="auto"/>
          <w:szCs w:val="21"/>
        </w:rPr>
      </w:pPr>
      <w:r>
        <w:rPr>
          <w:rFonts w:hint="eastAsia" w:ascii="仿宋" w:hAnsi="仿宋" w:eastAsia="仿宋" w:cs="宋体"/>
          <w:color w:val="auto"/>
          <w:szCs w:val="21"/>
        </w:rPr>
        <w:t>（1）</w:t>
      </w:r>
      <w:r>
        <w:rPr>
          <w:rFonts w:hint="eastAsia" w:ascii="仿宋" w:hAnsi="仿宋" w:eastAsia="仿宋" w:cs="宋体"/>
          <w:color w:val="auto"/>
          <w:kern w:val="0"/>
          <w:szCs w:val="21"/>
        </w:rPr>
        <w:t>商务部分</w:t>
      </w:r>
      <w:r>
        <w:rPr>
          <w:rFonts w:hint="eastAsia" w:ascii="仿宋" w:hAnsi="仿宋" w:eastAsia="仿宋" w:cs="宋体"/>
          <w:color w:val="auto"/>
          <w:szCs w:val="21"/>
        </w:rPr>
        <w:t>：见评审办法前附表；</w:t>
      </w:r>
    </w:p>
    <w:p w14:paraId="61974BD9">
      <w:pPr>
        <w:spacing w:line="360" w:lineRule="auto"/>
        <w:ind w:firstLine="718" w:firstLineChars="342"/>
        <w:rPr>
          <w:rFonts w:ascii="仿宋" w:hAnsi="仿宋" w:eastAsia="仿宋" w:cs="宋体"/>
          <w:color w:val="auto"/>
          <w:szCs w:val="21"/>
        </w:rPr>
      </w:pPr>
      <w:r>
        <w:rPr>
          <w:rFonts w:hint="eastAsia" w:ascii="仿宋" w:hAnsi="仿宋" w:eastAsia="仿宋" w:cs="宋体"/>
          <w:color w:val="auto"/>
          <w:szCs w:val="21"/>
        </w:rPr>
        <w:t>（2）技术部分：见评审办法前附表；</w:t>
      </w:r>
    </w:p>
    <w:p w14:paraId="0CA117AA">
      <w:pPr>
        <w:pStyle w:val="7"/>
        <w:spacing w:line="360" w:lineRule="auto"/>
        <w:rPr>
          <w:rFonts w:ascii="仿宋" w:hAnsi="仿宋" w:eastAsia="仿宋"/>
          <w:color w:val="auto"/>
        </w:rPr>
      </w:pPr>
      <w:r>
        <w:rPr>
          <w:rFonts w:hint="eastAsia" w:ascii="仿宋" w:hAnsi="仿宋" w:eastAsia="仿宋"/>
          <w:color w:val="auto"/>
        </w:rPr>
        <w:t>（</w:t>
      </w:r>
      <w:r>
        <w:rPr>
          <w:rFonts w:ascii="仿宋" w:hAnsi="仿宋" w:eastAsia="仿宋"/>
          <w:color w:val="auto"/>
        </w:rPr>
        <w:t>3</w:t>
      </w:r>
      <w:r>
        <w:rPr>
          <w:rFonts w:hint="eastAsia" w:ascii="仿宋" w:hAnsi="仿宋" w:eastAsia="仿宋"/>
          <w:color w:val="auto"/>
        </w:rPr>
        <w:t>）响应</w:t>
      </w:r>
      <w:r>
        <w:rPr>
          <w:rFonts w:hint="eastAsia" w:ascii="仿宋" w:hAnsi="仿宋" w:eastAsia="仿宋" w:cs="宋体"/>
          <w:color w:val="auto"/>
          <w:kern w:val="0"/>
          <w:szCs w:val="21"/>
        </w:rPr>
        <w:t>报价：</w:t>
      </w:r>
      <w:r>
        <w:rPr>
          <w:rFonts w:hint="eastAsia" w:ascii="仿宋" w:hAnsi="仿宋" w:eastAsia="仿宋" w:cs="宋体"/>
          <w:color w:val="auto"/>
          <w:szCs w:val="21"/>
        </w:rPr>
        <w:t>见评审办法前附表</w:t>
      </w:r>
    </w:p>
    <w:p w14:paraId="774F7604">
      <w:pPr>
        <w:spacing w:line="360" w:lineRule="auto"/>
        <w:ind w:firstLine="420" w:firstLineChars="200"/>
        <w:rPr>
          <w:rFonts w:ascii="仿宋" w:hAnsi="仿宋" w:eastAsia="仿宋" w:cs="宋体"/>
          <w:color w:val="auto"/>
          <w:szCs w:val="21"/>
        </w:rPr>
      </w:pPr>
      <w:r>
        <w:rPr>
          <w:rFonts w:hint="eastAsia" w:ascii="仿宋" w:hAnsi="仿宋" w:eastAsia="仿宋" w:cs="宋体"/>
          <w:color w:val="auto"/>
          <w:szCs w:val="21"/>
        </w:rPr>
        <w:t>2.2.2 评审基准价计算</w:t>
      </w:r>
    </w:p>
    <w:p w14:paraId="3C0706F8">
      <w:pPr>
        <w:spacing w:line="360" w:lineRule="auto"/>
        <w:ind w:firstLine="840" w:firstLineChars="400"/>
        <w:rPr>
          <w:rFonts w:ascii="仿宋" w:hAnsi="仿宋" w:eastAsia="仿宋" w:cs="宋体"/>
          <w:color w:val="auto"/>
          <w:szCs w:val="21"/>
        </w:rPr>
      </w:pPr>
      <w:r>
        <w:rPr>
          <w:rFonts w:hint="eastAsia" w:ascii="仿宋" w:hAnsi="仿宋" w:eastAsia="仿宋" w:cs="宋体"/>
          <w:color w:val="auto"/>
          <w:szCs w:val="21"/>
        </w:rPr>
        <w:t>评审基准价计算方法：见评审办法前附表。</w:t>
      </w:r>
    </w:p>
    <w:p w14:paraId="7B61E3AF">
      <w:pPr>
        <w:spacing w:line="360" w:lineRule="auto"/>
        <w:ind w:firstLine="420" w:firstLineChars="200"/>
        <w:rPr>
          <w:rFonts w:ascii="仿宋" w:hAnsi="仿宋" w:eastAsia="仿宋" w:cs="宋体"/>
          <w:color w:val="auto"/>
          <w:szCs w:val="21"/>
        </w:rPr>
      </w:pPr>
      <w:r>
        <w:rPr>
          <w:rFonts w:hint="eastAsia" w:ascii="仿宋" w:hAnsi="仿宋" w:eastAsia="仿宋" w:cs="宋体"/>
          <w:color w:val="auto"/>
          <w:szCs w:val="21"/>
        </w:rPr>
        <w:t>2.2.3 评分标准</w:t>
      </w:r>
    </w:p>
    <w:p w14:paraId="10A8B882">
      <w:pPr>
        <w:spacing w:line="360" w:lineRule="auto"/>
        <w:ind w:firstLine="718" w:firstLineChars="342"/>
        <w:rPr>
          <w:rFonts w:ascii="仿宋" w:hAnsi="仿宋" w:eastAsia="仿宋" w:cs="宋体"/>
          <w:color w:val="auto"/>
          <w:szCs w:val="21"/>
        </w:rPr>
      </w:pPr>
      <w:r>
        <w:rPr>
          <w:rFonts w:hint="eastAsia" w:ascii="仿宋" w:hAnsi="仿宋" w:eastAsia="仿宋" w:cs="宋体"/>
          <w:color w:val="auto"/>
          <w:szCs w:val="21"/>
        </w:rPr>
        <w:t>（1）</w:t>
      </w:r>
      <w:r>
        <w:rPr>
          <w:rFonts w:hint="eastAsia" w:ascii="仿宋" w:hAnsi="仿宋" w:eastAsia="仿宋" w:cs="宋体"/>
          <w:color w:val="auto"/>
          <w:kern w:val="0"/>
          <w:szCs w:val="21"/>
        </w:rPr>
        <w:t>商务部分</w:t>
      </w:r>
      <w:r>
        <w:rPr>
          <w:rFonts w:hint="eastAsia" w:ascii="仿宋" w:hAnsi="仿宋" w:eastAsia="仿宋" w:cs="宋体"/>
          <w:color w:val="auto"/>
          <w:szCs w:val="21"/>
        </w:rPr>
        <w:t>评分标准：见评审办法前附表；</w:t>
      </w:r>
    </w:p>
    <w:p w14:paraId="47DDB297">
      <w:pPr>
        <w:spacing w:line="360" w:lineRule="auto"/>
        <w:ind w:firstLine="718" w:firstLineChars="342"/>
        <w:rPr>
          <w:rFonts w:ascii="仿宋" w:hAnsi="仿宋" w:eastAsia="仿宋" w:cs="宋体"/>
          <w:color w:val="auto"/>
          <w:szCs w:val="21"/>
        </w:rPr>
      </w:pPr>
      <w:r>
        <w:rPr>
          <w:rFonts w:hint="eastAsia" w:ascii="仿宋" w:hAnsi="仿宋" w:eastAsia="仿宋" w:cs="宋体"/>
          <w:color w:val="auto"/>
          <w:szCs w:val="21"/>
        </w:rPr>
        <w:t>（2）技术部分评分标准：见评审办法前附表；</w:t>
      </w:r>
    </w:p>
    <w:p w14:paraId="426793B3">
      <w:pPr>
        <w:pStyle w:val="7"/>
        <w:spacing w:line="360" w:lineRule="auto"/>
        <w:rPr>
          <w:rFonts w:ascii="仿宋" w:hAnsi="仿宋" w:eastAsia="仿宋"/>
          <w:color w:val="auto"/>
        </w:rPr>
      </w:pPr>
      <w:r>
        <w:rPr>
          <w:rFonts w:hint="eastAsia" w:ascii="仿宋" w:hAnsi="仿宋" w:eastAsia="仿宋"/>
          <w:color w:val="auto"/>
        </w:rPr>
        <w:t>（</w:t>
      </w:r>
      <w:r>
        <w:rPr>
          <w:rFonts w:ascii="仿宋" w:hAnsi="仿宋" w:eastAsia="仿宋"/>
          <w:color w:val="auto"/>
        </w:rPr>
        <w:t>3</w:t>
      </w:r>
      <w:r>
        <w:rPr>
          <w:rFonts w:hint="eastAsia" w:ascii="仿宋" w:hAnsi="仿宋" w:eastAsia="仿宋"/>
          <w:color w:val="auto"/>
        </w:rPr>
        <w:t>）响应</w:t>
      </w:r>
      <w:r>
        <w:rPr>
          <w:rFonts w:hint="eastAsia" w:ascii="仿宋" w:hAnsi="仿宋" w:eastAsia="仿宋" w:cs="宋体"/>
          <w:color w:val="auto"/>
          <w:kern w:val="0"/>
          <w:szCs w:val="21"/>
        </w:rPr>
        <w:t>报价</w:t>
      </w:r>
      <w:r>
        <w:rPr>
          <w:rFonts w:hint="eastAsia" w:ascii="仿宋" w:hAnsi="仿宋" w:eastAsia="仿宋" w:cs="宋体"/>
          <w:color w:val="auto"/>
          <w:szCs w:val="21"/>
        </w:rPr>
        <w:t>评分标准</w:t>
      </w:r>
      <w:r>
        <w:rPr>
          <w:rFonts w:hint="eastAsia" w:ascii="仿宋" w:hAnsi="仿宋" w:eastAsia="仿宋" w:cs="宋体"/>
          <w:color w:val="auto"/>
          <w:kern w:val="0"/>
          <w:szCs w:val="21"/>
        </w:rPr>
        <w:t>：</w:t>
      </w:r>
      <w:r>
        <w:rPr>
          <w:rFonts w:hint="eastAsia" w:ascii="仿宋" w:hAnsi="仿宋" w:eastAsia="仿宋" w:cs="宋体"/>
          <w:color w:val="auto"/>
          <w:szCs w:val="21"/>
        </w:rPr>
        <w:t>见评审办法前附表</w:t>
      </w:r>
    </w:p>
    <w:p w14:paraId="1155281C">
      <w:pPr>
        <w:numPr>
          <w:ilvl w:val="3"/>
          <w:numId w:val="28"/>
        </w:numPr>
        <w:tabs>
          <w:tab w:val="left" w:pos="540"/>
        </w:tabs>
        <w:spacing w:line="400" w:lineRule="exact"/>
        <w:ind w:left="540" w:hanging="540"/>
        <w:rPr>
          <w:rFonts w:ascii="仿宋" w:hAnsi="仿宋" w:eastAsia="仿宋" w:cs="宋体"/>
          <w:color w:val="auto"/>
          <w:szCs w:val="21"/>
        </w:rPr>
      </w:pPr>
      <w:r>
        <w:rPr>
          <w:rFonts w:hint="eastAsia" w:ascii="仿宋" w:hAnsi="仿宋" w:eastAsia="仿宋" w:cs="宋体"/>
          <w:color w:val="auto"/>
          <w:szCs w:val="21"/>
        </w:rPr>
        <w:t>评定结果</w:t>
      </w:r>
    </w:p>
    <w:p w14:paraId="5D773848">
      <w:pPr>
        <w:tabs>
          <w:tab w:val="left" w:pos="540"/>
        </w:tabs>
        <w:spacing w:line="400" w:lineRule="exact"/>
        <w:rPr>
          <w:rFonts w:ascii="仿宋" w:hAnsi="仿宋" w:eastAsia="仿宋" w:cs="宋体"/>
          <w:color w:val="auto"/>
          <w:szCs w:val="21"/>
        </w:rPr>
      </w:pPr>
      <w:r>
        <w:rPr>
          <w:rFonts w:hint="eastAsia" w:ascii="仿宋" w:hAnsi="仿宋" w:eastAsia="仿宋" w:cs="宋体"/>
          <w:snapToGrid w:val="0"/>
          <w:color w:val="auto"/>
          <w:kern w:val="0"/>
          <w:szCs w:val="21"/>
          <w:lang w:val="zh-CN"/>
        </w:rPr>
        <w:t>3.1磋商小组严格按照本章要求对最终报价进行评定。</w:t>
      </w:r>
    </w:p>
    <w:p w14:paraId="3A99B233">
      <w:pPr>
        <w:tabs>
          <w:tab w:val="left" w:pos="540"/>
        </w:tabs>
        <w:spacing w:line="400" w:lineRule="exact"/>
        <w:rPr>
          <w:rFonts w:ascii="仿宋" w:hAnsi="仿宋" w:eastAsia="仿宋" w:cs="宋体"/>
          <w:color w:val="auto"/>
          <w:szCs w:val="21"/>
        </w:rPr>
      </w:pPr>
      <w:r>
        <w:rPr>
          <w:rFonts w:hint="eastAsia" w:ascii="仿宋" w:hAnsi="仿宋" w:eastAsia="仿宋" w:cs="宋体"/>
          <w:color w:val="auto"/>
          <w:szCs w:val="21"/>
        </w:rPr>
        <w:t>3.2完成评定后，</w:t>
      </w:r>
      <w:r>
        <w:rPr>
          <w:rFonts w:hint="eastAsia" w:ascii="仿宋" w:hAnsi="仿宋" w:eastAsia="仿宋" w:cs="宋体"/>
          <w:snapToGrid w:val="0"/>
          <w:color w:val="auto"/>
          <w:kern w:val="0"/>
          <w:szCs w:val="21"/>
          <w:lang w:val="zh-CN"/>
        </w:rPr>
        <w:t>磋商小组</w:t>
      </w:r>
      <w:r>
        <w:rPr>
          <w:rFonts w:hint="eastAsia" w:ascii="仿宋" w:hAnsi="仿宋" w:eastAsia="仿宋" w:cs="宋体"/>
          <w:color w:val="auto"/>
          <w:szCs w:val="21"/>
        </w:rPr>
        <w:t>须在评审结果推荐意见上共同签字。</w:t>
      </w:r>
    </w:p>
    <w:p w14:paraId="219E7B0F">
      <w:pPr>
        <w:spacing w:line="400" w:lineRule="exact"/>
        <w:rPr>
          <w:rFonts w:ascii="仿宋" w:hAnsi="仿宋" w:eastAsia="仿宋" w:cs="宋体"/>
          <w:color w:val="auto"/>
        </w:rPr>
      </w:pPr>
      <w:r>
        <w:rPr>
          <w:rFonts w:hint="eastAsia" w:ascii="仿宋" w:hAnsi="仿宋" w:eastAsia="仿宋" w:cs="宋体"/>
          <w:color w:val="auto"/>
        </w:rPr>
        <w:t>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75E124A">
      <w:pPr>
        <w:numPr>
          <w:ilvl w:val="3"/>
          <w:numId w:val="28"/>
        </w:numPr>
        <w:tabs>
          <w:tab w:val="left" w:pos="540"/>
        </w:tabs>
        <w:spacing w:line="400" w:lineRule="exact"/>
        <w:ind w:left="540" w:hanging="540"/>
        <w:rPr>
          <w:rFonts w:ascii="仿宋" w:hAnsi="仿宋" w:eastAsia="仿宋" w:cs="宋体"/>
          <w:color w:val="auto"/>
          <w:szCs w:val="21"/>
        </w:rPr>
      </w:pPr>
      <w:r>
        <w:rPr>
          <w:rFonts w:hint="eastAsia" w:ascii="仿宋" w:hAnsi="仿宋" w:eastAsia="仿宋" w:cs="宋体"/>
          <w:color w:val="auto"/>
          <w:szCs w:val="21"/>
        </w:rPr>
        <w:t>其它</w:t>
      </w:r>
    </w:p>
    <w:p w14:paraId="221748FC">
      <w:pPr>
        <w:spacing w:line="360" w:lineRule="auto"/>
        <w:rPr>
          <w:rFonts w:ascii="仿宋" w:hAnsi="仿宋" w:eastAsia="仿宋" w:cs="宋体"/>
          <w:color w:val="auto"/>
        </w:rPr>
      </w:pPr>
      <w:r>
        <w:rPr>
          <w:rFonts w:hint="eastAsia" w:ascii="仿宋" w:hAnsi="仿宋" w:eastAsia="仿宋" w:cs="宋体"/>
          <w:color w:val="auto"/>
        </w:rPr>
        <w:t>磋商供应商的最终报价均超过了采购预算，采购人不能支付的，磋商活动终止；终止后，采购人可以采取调整采购预算或项目配置标准等，或采取其他采购方式。</w:t>
      </w:r>
    </w:p>
    <w:p w14:paraId="5B90707F">
      <w:pPr>
        <w:pStyle w:val="2"/>
        <w:tabs>
          <w:tab w:val="left" w:pos="1275"/>
        </w:tabs>
        <w:ind w:left="1275" w:firstLine="1807" w:firstLineChars="500"/>
        <w:rPr>
          <w:rFonts w:ascii="仿宋" w:hAnsi="仿宋" w:eastAsia="仿宋" w:cs="宋体"/>
          <w:color w:val="auto"/>
          <w:sz w:val="36"/>
          <w:szCs w:val="36"/>
        </w:rPr>
      </w:pPr>
      <w:bookmarkStart w:id="216" w:name="_Toc211783328"/>
      <w:bookmarkStart w:id="217" w:name="_Toc318643471"/>
      <w:r>
        <w:rPr>
          <w:rFonts w:hint="eastAsia" w:ascii="仿宋" w:hAnsi="仿宋" w:eastAsia="仿宋" w:cs="宋体"/>
          <w:color w:val="auto"/>
          <w:sz w:val="36"/>
          <w:szCs w:val="36"/>
        </w:rPr>
        <w:br w:type="page"/>
      </w:r>
      <w:bookmarkStart w:id="218" w:name="_Toc149035951"/>
      <w:bookmarkStart w:id="219" w:name="_Toc1972"/>
      <w:r>
        <w:rPr>
          <w:rFonts w:hint="eastAsia" w:ascii="仿宋" w:hAnsi="仿宋" w:eastAsia="仿宋" w:cs="宋体"/>
          <w:color w:val="auto"/>
          <w:sz w:val="36"/>
          <w:szCs w:val="36"/>
        </w:rPr>
        <w:t>第五章 合同书</w:t>
      </w:r>
      <w:bookmarkEnd w:id="216"/>
      <w:bookmarkEnd w:id="217"/>
      <w:bookmarkEnd w:id="218"/>
      <w:bookmarkEnd w:id="219"/>
    </w:p>
    <w:p w14:paraId="09CD092C">
      <w:pPr>
        <w:autoSpaceDE w:val="0"/>
        <w:autoSpaceDN w:val="0"/>
        <w:adjustRightInd w:val="0"/>
        <w:spacing w:line="360" w:lineRule="auto"/>
        <w:rPr>
          <w:rFonts w:ascii="仿宋" w:hAnsi="仿宋" w:eastAsia="仿宋" w:cs="宋体"/>
          <w:color w:val="auto"/>
          <w:kern w:val="0"/>
          <w:szCs w:val="21"/>
          <w:shd w:val="clear" w:color="auto" w:fill="FFFFFF"/>
        </w:rPr>
      </w:pPr>
    </w:p>
    <w:p w14:paraId="2340205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医疗设备购销合同</w:t>
      </w:r>
    </w:p>
    <w:p w14:paraId="1F56991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甲方：湖北省第三人民医院</w:t>
      </w:r>
    </w:p>
    <w:p w14:paraId="2FA00C9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7C73FAE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乙方： </w:t>
      </w:r>
    </w:p>
    <w:p w14:paraId="745ED7F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7CB6A7C3">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医疗设备名称、规格、型号及数量</w:t>
      </w:r>
    </w:p>
    <w:p w14:paraId="734EF47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rPr>
        <w:t xml:space="preserve">1. 设备名称 </w:t>
      </w:r>
      <w:r>
        <w:rPr>
          <w:rFonts w:hint="eastAsia" w:ascii="仿宋" w:hAnsi="仿宋" w:eastAsia="仿宋" w:cs="仿宋"/>
          <w:color w:val="auto"/>
          <w:sz w:val="21"/>
          <w:szCs w:val="21"/>
          <w:u w:val="single"/>
          <w:lang w:eastAsia="zh-CN"/>
        </w:rPr>
        <w:t>：</w:t>
      </w:r>
    </w:p>
    <w:p w14:paraId="5A843B2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u w:val="single"/>
          <w:lang w:eastAsia="zh-CN"/>
        </w:rPr>
      </w:pPr>
      <w:r>
        <w:rPr>
          <w:rFonts w:hint="eastAsia" w:ascii="仿宋" w:hAnsi="仿宋" w:eastAsia="仿宋" w:cs="仿宋"/>
          <w:color w:val="auto"/>
          <w:sz w:val="21"/>
          <w:szCs w:val="21"/>
        </w:rPr>
        <w:t>2. 规格型号</w:t>
      </w:r>
      <w:r>
        <w:rPr>
          <w:rFonts w:hint="eastAsia" w:ascii="仿宋" w:hAnsi="仿宋" w:eastAsia="仿宋" w:cs="仿宋"/>
          <w:color w:val="auto"/>
          <w:sz w:val="21"/>
          <w:szCs w:val="21"/>
          <w:u w:val="single"/>
          <w:lang w:eastAsia="zh-CN"/>
        </w:rPr>
        <w:t>：</w:t>
      </w:r>
    </w:p>
    <w:p w14:paraId="21CE05B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u w:val="single"/>
          <w:lang w:eastAsia="zh-CN"/>
        </w:rPr>
      </w:pPr>
      <w:r>
        <w:rPr>
          <w:rFonts w:hint="eastAsia" w:ascii="仿宋" w:hAnsi="仿宋" w:eastAsia="仿宋" w:cs="仿宋"/>
          <w:color w:val="auto"/>
          <w:sz w:val="21"/>
          <w:szCs w:val="21"/>
        </w:rPr>
        <w:t xml:space="preserve">3. 数量 </w:t>
      </w:r>
      <w:r>
        <w:rPr>
          <w:rFonts w:hint="eastAsia" w:ascii="仿宋" w:hAnsi="仿宋" w:eastAsia="仿宋" w:cs="仿宋"/>
          <w:color w:val="auto"/>
          <w:sz w:val="21"/>
          <w:szCs w:val="21"/>
          <w:u w:val="single"/>
          <w:lang w:eastAsia="zh-CN"/>
        </w:rPr>
        <w:t>：</w:t>
      </w:r>
    </w:p>
    <w:p w14:paraId="67DAD64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u w:val="single"/>
          <w:lang w:eastAsia="zh-CN"/>
        </w:rPr>
      </w:pPr>
      <w:r>
        <w:rPr>
          <w:rFonts w:hint="eastAsia" w:ascii="仿宋" w:hAnsi="仿宋" w:eastAsia="仿宋" w:cs="仿宋"/>
          <w:color w:val="auto"/>
          <w:sz w:val="21"/>
          <w:szCs w:val="21"/>
        </w:rPr>
        <w:t xml:space="preserve">4. 产地 </w:t>
      </w:r>
      <w:r>
        <w:rPr>
          <w:rFonts w:hint="eastAsia" w:ascii="仿宋" w:hAnsi="仿宋" w:eastAsia="仿宋" w:cs="仿宋"/>
          <w:color w:val="auto"/>
          <w:sz w:val="21"/>
          <w:szCs w:val="21"/>
          <w:u w:val="single"/>
          <w:lang w:eastAsia="zh-CN"/>
        </w:rPr>
        <w:t>：</w:t>
      </w:r>
    </w:p>
    <w:p w14:paraId="36040D6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u w:val="single"/>
          <w:lang w:eastAsia="zh-CN"/>
        </w:rPr>
      </w:pPr>
      <w:r>
        <w:rPr>
          <w:rFonts w:hint="eastAsia" w:ascii="仿宋" w:hAnsi="仿宋" w:eastAsia="仿宋" w:cs="仿宋"/>
          <w:color w:val="auto"/>
          <w:sz w:val="21"/>
          <w:szCs w:val="21"/>
          <w:lang w:val="en-US" w:eastAsia="zh-CN"/>
        </w:rPr>
        <w:t>5</w:t>
      </w:r>
      <w:r>
        <w:rPr>
          <w:rFonts w:hint="eastAsia" w:ascii="仿宋" w:hAnsi="仿宋" w:eastAsia="仿宋" w:cs="仿宋"/>
          <w:color w:val="auto"/>
          <w:sz w:val="21"/>
          <w:szCs w:val="21"/>
        </w:rPr>
        <w:t xml:space="preserve">. </w:t>
      </w:r>
      <w:r>
        <w:rPr>
          <w:rFonts w:hint="eastAsia" w:ascii="仿宋" w:hAnsi="仿宋" w:eastAsia="仿宋" w:cs="仿宋"/>
          <w:color w:val="auto"/>
          <w:sz w:val="21"/>
          <w:szCs w:val="21"/>
          <w:lang w:eastAsia="zh-CN"/>
        </w:rPr>
        <w:t>生产厂家</w:t>
      </w:r>
      <w:r>
        <w:rPr>
          <w:rFonts w:hint="eastAsia" w:ascii="仿宋" w:hAnsi="仿宋" w:eastAsia="仿宋" w:cs="仿宋"/>
          <w:color w:val="auto"/>
          <w:sz w:val="21"/>
          <w:szCs w:val="21"/>
          <w:u w:val="single"/>
          <w:lang w:eastAsia="zh-CN"/>
        </w:rPr>
        <w:t>：</w:t>
      </w:r>
    </w:p>
    <w:p w14:paraId="42239C1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u w:val="single"/>
          <w:lang w:eastAsia="zh-CN"/>
        </w:rPr>
      </w:pPr>
    </w:p>
    <w:p w14:paraId="0E7312C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u w:val="single"/>
          <w:lang w:val="en-US" w:eastAsia="zh-CN"/>
        </w:rPr>
      </w:pPr>
    </w:p>
    <w:p w14:paraId="731A067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6A0913A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5E2E11B1">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价格：</w:t>
      </w:r>
    </w:p>
    <w:p w14:paraId="31C2F02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 单价（RMB）</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rPr>
        <w:t>元  2. 合同总价（RMB）</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rPr>
        <w:t>元</w:t>
      </w:r>
    </w:p>
    <w:p w14:paraId="48A7807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     </w:t>
      </w:r>
    </w:p>
    <w:p w14:paraId="6FB7028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2064F11F">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付款方式：</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z w:val="21"/>
          <w:szCs w:val="21"/>
          <w:u w:val="single"/>
        </w:rPr>
        <w:t xml:space="preserve">  </w:t>
      </w:r>
    </w:p>
    <w:p w14:paraId="3D0BAB2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508C74AC">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交货期：</w:t>
      </w:r>
    </w:p>
    <w:p w14:paraId="26013C4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乙方保证在</w:t>
      </w:r>
      <w:r>
        <w:rPr>
          <w:rFonts w:hint="eastAsia" w:ascii="仿宋" w:hAnsi="仿宋" w:eastAsia="仿宋" w:cs="仿宋"/>
          <w:color w:val="auto"/>
          <w:sz w:val="21"/>
          <w:szCs w:val="21"/>
          <w:u w:val="none"/>
          <w:lang w:eastAsia="zh-CN"/>
        </w:rPr>
        <w:t>签订合同后</w:t>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z w:val="21"/>
          <w:szCs w:val="21"/>
          <w:u w:val="none"/>
          <w:lang w:val="en-US" w:eastAsia="zh-CN"/>
        </w:rPr>
        <w:t>个工作日内</w:t>
      </w:r>
      <w:r>
        <w:rPr>
          <w:rFonts w:hint="eastAsia" w:ascii="仿宋" w:hAnsi="仿宋" w:eastAsia="仿宋" w:cs="仿宋"/>
          <w:color w:val="auto"/>
          <w:sz w:val="21"/>
          <w:szCs w:val="21"/>
          <w:u w:val="none"/>
        </w:rPr>
        <w:t>将</w:t>
      </w:r>
      <w:r>
        <w:rPr>
          <w:rFonts w:hint="eastAsia" w:ascii="仿宋" w:hAnsi="仿宋" w:eastAsia="仿宋" w:cs="仿宋"/>
          <w:color w:val="auto"/>
          <w:sz w:val="21"/>
          <w:szCs w:val="21"/>
        </w:rPr>
        <w:t>设备运到甲方医院或甲方指定地点。</w:t>
      </w:r>
    </w:p>
    <w:p w14:paraId="1BD2860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0B86534D">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质保期：</w:t>
      </w:r>
    </w:p>
    <w:p w14:paraId="546D54E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乙方为甲方购入的设备提供</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rPr>
        <w:t>个月的免费保修期，保修期从甲方正式验收合格之日起计算，乙方保证对所卖设备提供终身维修及所需的维修配件及消耗品，乙方工程师在接到甲方维修通知</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rPr>
        <w:t>小时内到达现场。</w:t>
      </w:r>
    </w:p>
    <w:p w14:paraId="247B715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29989426">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安装：</w:t>
      </w:r>
    </w:p>
    <w:p w14:paraId="4D153E3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设备由乙方工程师免费安装，在安装期间所产生的一切费用由乙方承担，乙方在接到甲方的安装通知后三个工作日内派工程师到安装现场安装调试。</w:t>
      </w:r>
    </w:p>
    <w:p w14:paraId="3C5A851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3A4CFC44">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验收：</w:t>
      </w:r>
    </w:p>
    <w:p w14:paraId="57E880E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由甲方的使用科室、设备科及乙方组成的验收小组根据所签合同的配置清单进行清点、核对。安装完毕后乙方必须向甲方验收人员演示所购设备的所有功能。</w:t>
      </w:r>
    </w:p>
    <w:p w14:paraId="04AE886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05972442">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培训：</w:t>
      </w:r>
    </w:p>
    <w:p w14:paraId="1CD8849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乙方必须对甲方医务人员进行免费的专业技术培训，培训可根据实际情况安排在省外省内医院或现场，如培训安排在武汉市以外地区，甲方医务人员培训产生费用由乙方承担。培训必须保证甲方医务人员熟练掌握。</w:t>
      </w:r>
    </w:p>
    <w:p w14:paraId="329842F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709004B7">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技术资料：</w:t>
      </w:r>
    </w:p>
    <w:p w14:paraId="5EEE14E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乙方在交货时应向甲方提供全套完整的技术资料。</w:t>
      </w:r>
    </w:p>
    <w:p w14:paraId="62186FE1">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设备质量标准：</w:t>
      </w:r>
    </w:p>
    <w:p w14:paraId="013DCF4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乙方向甲方提供的合同设备应符合下列标准：</w:t>
      </w:r>
    </w:p>
    <w:p w14:paraId="52820F0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 必须是全新未使用过的产品，并符合相关的技术规格说明书所说明的各项技术指标，并附有制造厂的品质说明书。</w:t>
      </w:r>
    </w:p>
    <w:p w14:paraId="34675B4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 因产品质量问题所引发的医疗纠纷及事故所造成的损失由乙方承担。</w:t>
      </w:r>
    </w:p>
    <w:p w14:paraId="449258B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 所有软件必须为正版。</w:t>
      </w:r>
    </w:p>
    <w:p w14:paraId="203B579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5FF7E42C">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违约责任</w:t>
      </w:r>
    </w:p>
    <w:p w14:paraId="05E5AB8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 乙方逾期供货每天支付货款总额的1%的违约金，违约金累计不超过合同总额的10%。除自然灾害、战乱因素外。如乙方逾期供货超过10日以上（包括10日），甲方有权单方解除合同。</w:t>
      </w:r>
    </w:p>
    <w:p w14:paraId="465050F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 如乙方在质保期内不履行维修义务或不按时维修，甲方有权要求乙方支付违约金500元/次，并从合同价款内累计扣除。若因乙方不履行合同义务给甲方造成的损失由乙方承担。</w:t>
      </w:r>
    </w:p>
    <w:p w14:paraId="2B16432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0E57701D">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争议的解决</w:t>
      </w:r>
    </w:p>
    <w:p w14:paraId="2E19848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双方在履行合同中，出现争议应协商解决，协商不成功，双方应将争议提交至甲方所在地有管辖权的法院诉讼解决。</w:t>
      </w:r>
    </w:p>
    <w:p w14:paraId="5AD59A7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6C64FEB7">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投标文件</w:t>
      </w:r>
    </w:p>
    <w:p w14:paraId="1380E21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投标文件与合同具有同等法律效应，当合同与投标文件发生冲突时，以合同文件为准。</w:t>
      </w:r>
    </w:p>
    <w:p w14:paraId="2A5126B2">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lang w:eastAsia="zh-CN"/>
        </w:rPr>
      </w:pPr>
      <w:r>
        <w:rPr>
          <w:rStyle w:val="62"/>
          <w:rFonts w:hint="eastAsia" w:ascii="仿宋" w:hAnsi="仿宋" w:eastAsia="仿宋" w:cs="仿宋"/>
          <w:color w:val="auto"/>
          <w:sz w:val="21"/>
          <w:szCs w:val="21"/>
          <w:lang w:val="en-US" w:eastAsia="zh-CN"/>
        </w:rPr>
        <w:t>十四、双方约定以甲方签章确认后合同</w:t>
      </w:r>
      <w:r>
        <w:rPr>
          <w:rStyle w:val="62"/>
          <w:rFonts w:hint="eastAsia" w:ascii="仿宋" w:hAnsi="仿宋" w:eastAsia="仿宋" w:cs="仿宋"/>
          <w:color w:val="auto"/>
          <w:sz w:val="21"/>
          <w:szCs w:val="21"/>
        </w:rPr>
        <w:t>生效</w:t>
      </w:r>
      <w:r>
        <w:rPr>
          <w:rStyle w:val="62"/>
          <w:rFonts w:hint="eastAsia" w:ascii="仿宋" w:hAnsi="仿宋" w:eastAsia="仿宋" w:cs="仿宋"/>
          <w:color w:val="auto"/>
          <w:sz w:val="21"/>
          <w:szCs w:val="21"/>
          <w:lang w:eastAsia="zh-CN"/>
        </w:rPr>
        <w:t>。</w:t>
      </w:r>
    </w:p>
    <w:p w14:paraId="004961ED">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Style w:val="62"/>
          <w:rFonts w:hint="eastAsia" w:ascii="仿宋" w:hAnsi="仿宋" w:eastAsia="仿宋" w:cs="仿宋"/>
          <w:color w:val="auto"/>
          <w:sz w:val="21"/>
          <w:szCs w:val="21"/>
          <w:lang w:eastAsia="zh-CN"/>
        </w:rPr>
      </w:pPr>
      <w:r>
        <w:rPr>
          <w:rStyle w:val="62"/>
          <w:rFonts w:hint="eastAsia" w:ascii="仿宋" w:hAnsi="仿宋" w:eastAsia="仿宋" w:cs="仿宋"/>
          <w:color w:val="auto"/>
          <w:sz w:val="21"/>
          <w:szCs w:val="21"/>
          <w:lang w:val="en-US" w:eastAsia="zh-CN"/>
        </w:rPr>
        <w:t>十五、</w:t>
      </w:r>
      <w:r>
        <w:rPr>
          <w:rStyle w:val="62"/>
          <w:rFonts w:hint="eastAsia" w:ascii="仿宋" w:hAnsi="仿宋" w:eastAsia="仿宋" w:cs="仿宋"/>
          <w:color w:val="auto"/>
          <w:sz w:val="21"/>
          <w:szCs w:val="21"/>
        </w:rPr>
        <w:t>本协议一式</w:t>
      </w:r>
      <w:r>
        <w:rPr>
          <w:rStyle w:val="62"/>
          <w:rFonts w:hint="eastAsia" w:ascii="仿宋" w:hAnsi="仿宋" w:eastAsia="仿宋" w:cs="仿宋"/>
          <w:color w:val="auto"/>
          <w:sz w:val="21"/>
          <w:szCs w:val="21"/>
          <w:lang w:eastAsia="zh-CN"/>
        </w:rPr>
        <w:t>肆</w:t>
      </w:r>
      <w:r>
        <w:rPr>
          <w:rStyle w:val="62"/>
          <w:rFonts w:hint="eastAsia" w:ascii="仿宋" w:hAnsi="仿宋" w:eastAsia="仿宋" w:cs="仿宋"/>
          <w:color w:val="auto"/>
          <w:sz w:val="21"/>
          <w:szCs w:val="21"/>
        </w:rPr>
        <w:t>份</w:t>
      </w:r>
      <w:r>
        <w:rPr>
          <w:rStyle w:val="62"/>
          <w:rFonts w:hint="eastAsia" w:ascii="仿宋" w:hAnsi="仿宋" w:eastAsia="仿宋" w:cs="仿宋"/>
          <w:color w:val="auto"/>
          <w:sz w:val="21"/>
          <w:szCs w:val="21"/>
          <w:lang w:eastAsia="zh-CN"/>
        </w:rPr>
        <w:t>，</w:t>
      </w:r>
      <w:r>
        <w:rPr>
          <w:rStyle w:val="62"/>
          <w:rFonts w:hint="eastAsia" w:ascii="仿宋" w:hAnsi="仿宋" w:eastAsia="仿宋" w:cs="仿宋"/>
          <w:color w:val="auto"/>
          <w:sz w:val="21"/>
          <w:szCs w:val="21"/>
        </w:rPr>
        <w:t>具有同等效力，甲方</w:t>
      </w:r>
      <w:r>
        <w:rPr>
          <w:rStyle w:val="62"/>
          <w:rFonts w:hint="eastAsia" w:ascii="仿宋" w:hAnsi="仿宋" w:eastAsia="仿宋" w:cs="仿宋"/>
          <w:color w:val="auto"/>
          <w:sz w:val="21"/>
          <w:szCs w:val="21"/>
          <w:lang w:eastAsia="zh-CN"/>
        </w:rPr>
        <w:t>叁</w:t>
      </w:r>
      <w:r>
        <w:rPr>
          <w:rStyle w:val="62"/>
          <w:rFonts w:hint="eastAsia" w:ascii="仿宋" w:hAnsi="仿宋" w:eastAsia="仿宋" w:cs="仿宋"/>
          <w:color w:val="auto"/>
          <w:sz w:val="21"/>
          <w:szCs w:val="21"/>
        </w:rPr>
        <w:t>份</w:t>
      </w:r>
      <w:r>
        <w:rPr>
          <w:rStyle w:val="62"/>
          <w:rFonts w:hint="eastAsia" w:ascii="仿宋" w:hAnsi="仿宋" w:eastAsia="仿宋" w:cs="仿宋"/>
          <w:color w:val="auto"/>
          <w:sz w:val="21"/>
          <w:szCs w:val="21"/>
          <w:lang w:eastAsia="zh-CN"/>
        </w:rPr>
        <w:t>，乙方壹份</w:t>
      </w:r>
      <w:r>
        <w:rPr>
          <w:rStyle w:val="62"/>
          <w:rFonts w:hint="eastAsia" w:ascii="仿宋" w:hAnsi="仿宋" w:eastAsia="仿宋" w:cs="仿宋"/>
          <w:color w:val="auto"/>
          <w:sz w:val="21"/>
          <w:szCs w:val="21"/>
        </w:rPr>
        <w:t>。</w:t>
      </w:r>
    </w:p>
    <w:p w14:paraId="2C99800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3A893C8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p>
    <w:p w14:paraId="175C60B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甲方（全称）：湖北省第三人民医院          乙方：  </w:t>
      </w:r>
    </w:p>
    <w:p w14:paraId="064A1CE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通讯地址：武汉市中山大道26号            厂家代表：</w:t>
      </w:r>
    </w:p>
    <w:p w14:paraId="14B6D1B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传真：027-83745963                       传真：</w:t>
      </w:r>
    </w:p>
    <w:p w14:paraId="129C8B4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账号：                                   账号：</w:t>
      </w:r>
    </w:p>
    <w:p w14:paraId="3A75188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邮政编码：430033                         邮政编码：</w:t>
      </w:r>
    </w:p>
    <w:p w14:paraId="12D98F1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委托代理人：                             委托代理人：</w:t>
      </w:r>
    </w:p>
    <w:p w14:paraId="5D898B0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签约日期：                               签约日期：</w:t>
      </w:r>
    </w:p>
    <w:p w14:paraId="2D04DAB2">
      <w:pPr>
        <w:widowControl/>
        <w:jc w:val="left"/>
        <w:rPr>
          <w:rFonts w:ascii="仿宋" w:hAnsi="仿宋" w:eastAsia="仿宋"/>
          <w:color w:val="auto"/>
        </w:rPr>
      </w:pPr>
      <w:r>
        <w:rPr>
          <w:rFonts w:ascii="仿宋" w:hAnsi="仿宋" w:eastAsia="仿宋"/>
          <w:color w:val="auto"/>
          <w:kern w:val="0"/>
        </w:rPr>
        <w:br w:type="page"/>
      </w:r>
    </w:p>
    <w:p w14:paraId="7AE65A96">
      <w:pPr>
        <w:pStyle w:val="2"/>
        <w:keepNext/>
        <w:keepLines/>
        <w:pageBreakBefore w:val="0"/>
        <w:widowControl w:val="0"/>
        <w:tabs>
          <w:tab w:val="left" w:pos="1275"/>
        </w:tabs>
        <w:kinsoku/>
        <w:wordWrap/>
        <w:overflowPunct/>
        <w:topLinePunct w:val="0"/>
        <w:autoSpaceDE/>
        <w:autoSpaceDN/>
        <w:bidi w:val="0"/>
        <w:adjustRightInd/>
        <w:snapToGrid/>
        <w:spacing w:line="579" w:lineRule="auto"/>
        <w:ind w:left="0"/>
        <w:jc w:val="center"/>
        <w:textAlignment w:val="auto"/>
        <w:rPr>
          <w:rFonts w:ascii="仿宋" w:hAnsi="仿宋" w:eastAsia="仿宋" w:cs="宋体"/>
          <w:color w:val="auto"/>
          <w:sz w:val="36"/>
          <w:szCs w:val="36"/>
        </w:rPr>
      </w:pPr>
      <w:bookmarkStart w:id="220" w:name="_Toc149035952"/>
      <w:bookmarkStart w:id="221" w:name="_Toc16657"/>
      <w:r>
        <w:rPr>
          <w:rFonts w:hint="eastAsia" w:ascii="仿宋" w:hAnsi="仿宋" w:eastAsia="仿宋" w:cs="宋体"/>
          <w:color w:val="auto"/>
          <w:sz w:val="36"/>
          <w:szCs w:val="36"/>
        </w:rPr>
        <w:t>第六章 竞争性磋商响应文件格式</w:t>
      </w:r>
      <w:bookmarkEnd w:id="220"/>
      <w:bookmarkEnd w:id="221"/>
    </w:p>
    <w:p w14:paraId="59A96DD9">
      <w:pPr>
        <w:autoSpaceDE w:val="0"/>
        <w:autoSpaceDN w:val="0"/>
        <w:adjustRightInd w:val="0"/>
        <w:rPr>
          <w:rFonts w:ascii="仿宋" w:hAnsi="仿宋" w:eastAsia="仿宋" w:cs="宋体"/>
          <w:color w:val="auto"/>
        </w:rPr>
      </w:pPr>
      <w:r>
        <w:rPr>
          <w:rFonts w:hint="eastAsia" w:ascii="仿宋" w:hAnsi="仿宋" w:eastAsia="仿宋" w:cs="宋体"/>
          <w:color w:val="auto"/>
        </w:rPr>
        <w:t>封面：</w:t>
      </w:r>
    </w:p>
    <w:p w14:paraId="4511CA37">
      <w:pPr>
        <w:autoSpaceDE w:val="0"/>
        <w:autoSpaceDN w:val="0"/>
        <w:adjustRightInd w:val="0"/>
        <w:rPr>
          <w:rFonts w:ascii="仿宋" w:hAnsi="仿宋" w:eastAsia="仿宋" w:cs="宋体"/>
          <w:color w:val="auto"/>
        </w:rPr>
      </w:pPr>
    </w:p>
    <w:p w14:paraId="73CE1252">
      <w:pPr>
        <w:autoSpaceDE w:val="0"/>
        <w:autoSpaceDN w:val="0"/>
        <w:adjustRightInd w:val="0"/>
        <w:rPr>
          <w:rFonts w:ascii="仿宋" w:hAnsi="仿宋" w:eastAsia="仿宋" w:cs="宋体"/>
          <w:color w:val="auto"/>
        </w:rPr>
      </w:pPr>
    </w:p>
    <w:p w14:paraId="27463FFB">
      <w:pPr>
        <w:autoSpaceDE w:val="0"/>
        <w:autoSpaceDN w:val="0"/>
        <w:adjustRightInd w:val="0"/>
        <w:jc w:val="center"/>
        <w:rPr>
          <w:rFonts w:ascii="仿宋" w:hAnsi="仿宋" w:eastAsia="仿宋" w:cs="宋体"/>
          <w:b/>
          <w:color w:val="auto"/>
          <w:sz w:val="84"/>
          <w:szCs w:val="84"/>
        </w:rPr>
      </w:pPr>
      <w:r>
        <w:rPr>
          <w:rFonts w:hint="eastAsia" w:ascii="仿宋" w:hAnsi="仿宋" w:eastAsia="仿宋" w:cs="宋体"/>
          <w:b/>
          <w:color w:val="auto"/>
          <w:sz w:val="84"/>
          <w:szCs w:val="84"/>
        </w:rPr>
        <w:t>响 应 文 件</w:t>
      </w:r>
    </w:p>
    <w:p w14:paraId="22E72A8B">
      <w:pPr>
        <w:autoSpaceDE w:val="0"/>
        <w:autoSpaceDN w:val="0"/>
        <w:adjustRightInd w:val="0"/>
        <w:rPr>
          <w:rFonts w:ascii="仿宋" w:hAnsi="仿宋" w:eastAsia="仿宋" w:cs="宋体"/>
          <w:color w:val="auto"/>
          <w:szCs w:val="21"/>
        </w:rPr>
      </w:pPr>
    </w:p>
    <w:p w14:paraId="79E2B254">
      <w:pPr>
        <w:autoSpaceDE w:val="0"/>
        <w:autoSpaceDN w:val="0"/>
        <w:adjustRightInd w:val="0"/>
        <w:rPr>
          <w:rFonts w:ascii="仿宋" w:hAnsi="仿宋" w:eastAsia="仿宋" w:cs="宋体"/>
          <w:color w:val="auto"/>
          <w:szCs w:val="21"/>
        </w:rPr>
      </w:pPr>
    </w:p>
    <w:p w14:paraId="36F7FF82">
      <w:pPr>
        <w:autoSpaceDE w:val="0"/>
        <w:autoSpaceDN w:val="0"/>
        <w:adjustRightInd w:val="0"/>
        <w:jc w:val="center"/>
        <w:rPr>
          <w:rFonts w:ascii="仿宋" w:hAnsi="仿宋" w:eastAsia="仿宋" w:cs="宋体"/>
          <w:color w:val="auto"/>
          <w:szCs w:val="21"/>
        </w:rPr>
      </w:pPr>
      <w:r>
        <w:rPr>
          <w:rFonts w:hint="eastAsia" w:ascii="仿宋" w:hAnsi="仿宋" w:eastAsia="仿宋" w:cs="宋体"/>
          <w:color w:val="auto"/>
          <w:szCs w:val="21"/>
        </w:rPr>
        <w:t>（正本/副本）</w:t>
      </w:r>
    </w:p>
    <w:p w14:paraId="43587340">
      <w:pPr>
        <w:autoSpaceDE w:val="0"/>
        <w:autoSpaceDN w:val="0"/>
        <w:adjustRightInd w:val="0"/>
        <w:rPr>
          <w:rFonts w:ascii="仿宋" w:hAnsi="仿宋" w:eastAsia="仿宋" w:cs="宋体"/>
          <w:color w:val="auto"/>
          <w:szCs w:val="21"/>
        </w:rPr>
      </w:pPr>
    </w:p>
    <w:p w14:paraId="0315B655">
      <w:pPr>
        <w:autoSpaceDE w:val="0"/>
        <w:autoSpaceDN w:val="0"/>
        <w:adjustRightInd w:val="0"/>
        <w:rPr>
          <w:rFonts w:ascii="仿宋" w:hAnsi="仿宋" w:eastAsia="仿宋" w:cs="宋体"/>
          <w:color w:val="auto"/>
          <w:szCs w:val="21"/>
        </w:rPr>
      </w:pPr>
    </w:p>
    <w:p w14:paraId="00A121AB">
      <w:pPr>
        <w:autoSpaceDE w:val="0"/>
        <w:autoSpaceDN w:val="0"/>
        <w:adjustRightInd w:val="0"/>
        <w:rPr>
          <w:rFonts w:ascii="仿宋" w:hAnsi="仿宋" w:eastAsia="仿宋" w:cs="宋体"/>
          <w:color w:val="auto"/>
          <w:szCs w:val="21"/>
        </w:rPr>
      </w:pPr>
    </w:p>
    <w:p w14:paraId="6644362A">
      <w:pPr>
        <w:autoSpaceDE w:val="0"/>
        <w:autoSpaceDN w:val="0"/>
        <w:adjustRightInd w:val="0"/>
        <w:rPr>
          <w:rFonts w:ascii="仿宋" w:hAnsi="仿宋" w:eastAsia="仿宋" w:cs="宋体"/>
          <w:color w:val="auto"/>
          <w:szCs w:val="21"/>
        </w:rPr>
      </w:pPr>
    </w:p>
    <w:p w14:paraId="05C5DDCA">
      <w:pPr>
        <w:autoSpaceDE w:val="0"/>
        <w:autoSpaceDN w:val="0"/>
        <w:adjustRightInd w:val="0"/>
        <w:ind w:firstLine="1190" w:firstLineChars="395"/>
        <w:rPr>
          <w:rFonts w:ascii="仿宋" w:hAnsi="仿宋" w:eastAsia="仿宋" w:cs="宋体"/>
          <w:b/>
          <w:bCs/>
          <w:color w:val="auto"/>
          <w:sz w:val="30"/>
          <w:szCs w:val="30"/>
          <w:u w:val="single"/>
        </w:rPr>
      </w:pPr>
      <w:r>
        <w:rPr>
          <w:rFonts w:hint="eastAsia" w:ascii="仿宋" w:hAnsi="仿宋" w:eastAsia="仿宋" w:cs="宋体"/>
          <w:b/>
          <w:bCs/>
          <w:color w:val="auto"/>
          <w:sz w:val="30"/>
          <w:szCs w:val="30"/>
        </w:rPr>
        <w:t>项目编号：</w:t>
      </w:r>
    </w:p>
    <w:p w14:paraId="5F2FE44E">
      <w:pPr>
        <w:tabs>
          <w:tab w:val="left" w:pos="7230"/>
        </w:tabs>
        <w:ind w:firstLine="1190" w:firstLineChars="395"/>
        <w:rPr>
          <w:rFonts w:ascii="仿宋" w:hAnsi="仿宋" w:eastAsia="仿宋" w:cs="宋体"/>
          <w:b/>
          <w:bCs/>
          <w:color w:val="auto"/>
          <w:sz w:val="30"/>
          <w:szCs w:val="30"/>
          <w:u w:val="single"/>
        </w:rPr>
      </w:pPr>
      <w:r>
        <w:rPr>
          <w:rFonts w:hint="eastAsia" w:ascii="仿宋" w:hAnsi="仿宋" w:eastAsia="仿宋" w:cs="宋体"/>
          <w:b/>
          <w:bCs/>
          <w:color w:val="auto"/>
          <w:sz w:val="30"/>
          <w:szCs w:val="30"/>
        </w:rPr>
        <w:t>项目名称：</w:t>
      </w:r>
    </w:p>
    <w:p w14:paraId="06377B19">
      <w:pPr>
        <w:autoSpaceDE w:val="0"/>
        <w:autoSpaceDN w:val="0"/>
        <w:adjustRightInd w:val="0"/>
        <w:ind w:firstLine="1190" w:firstLineChars="395"/>
        <w:rPr>
          <w:rFonts w:ascii="仿宋" w:hAnsi="仿宋" w:eastAsia="仿宋" w:cs="宋体"/>
          <w:b/>
          <w:bCs/>
          <w:color w:val="auto"/>
          <w:sz w:val="30"/>
          <w:szCs w:val="30"/>
        </w:rPr>
      </w:pPr>
      <w:r>
        <w:rPr>
          <w:rFonts w:hint="eastAsia" w:ascii="仿宋" w:hAnsi="仿宋" w:eastAsia="仿宋" w:cs="宋体"/>
          <w:b/>
          <w:bCs/>
          <w:color w:val="auto"/>
          <w:sz w:val="30"/>
          <w:szCs w:val="30"/>
        </w:rPr>
        <w:t>报价内容：</w:t>
      </w:r>
    </w:p>
    <w:p w14:paraId="68254A14">
      <w:pPr>
        <w:autoSpaceDE w:val="0"/>
        <w:autoSpaceDN w:val="0"/>
        <w:adjustRightInd w:val="0"/>
        <w:rPr>
          <w:rFonts w:ascii="仿宋" w:hAnsi="仿宋" w:eastAsia="仿宋" w:cs="宋体"/>
          <w:color w:val="auto"/>
          <w:szCs w:val="21"/>
        </w:rPr>
      </w:pPr>
    </w:p>
    <w:p w14:paraId="40AF7B67">
      <w:pPr>
        <w:autoSpaceDE w:val="0"/>
        <w:autoSpaceDN w:val="0"/>
        <w:adjustRightInd w:val="0"/>
        <w:rPr>
          <w:rFonts w:ascii="仿宋" w:hAnsi="仿宋" w:eastAsia="仿宋" w:cs="宋体"/>
          <w:color w:val="auto"/>
          <w:szCs w:val="21"/>
        </w:rPr>
      </w:pPr>
    </w:p>
    <w:p w14:paraId="09A5D6E3">
      <w:pPr>
        <w:autoSpaceDE w:val="0"/>
        <w:autoSpaceDN w:val="0"/>
        <w:adjustRightInd w:val="0"/>
        <w:rPr>
          <w:rFonts w:ascii="仿宋" w:hAnsi="仿宋" w:eastAsia="仿宋" w:cs="宋体"/>
          <w:color w:val="auto"/>
          <w:szCs w:val="21"/>
        </w:rPr>
      </w:pPr>
    </w:p>
    <w:p w14:paraId="232F43BC">
      <w:pPr>
        <w:autoSpaceDE w:val="0"/>
        <w:autoSpaceDN w:val="0"/>
        <w:adjustRightInd w:val="0"/>
        <w:rPr>
          <w:rFonts w:ascii="仿宋" w:hAnsi="仿宋" w:eastAsia="仿宋" w:cs="宋体"/>
          <w:color w:val="auto"/>
          <w:szCs w:val="21"/>
        </w:rPr>
      </w:pPr>
    </w:p>
    <w:p w14:paraId="5EBFC717">
      <w:pPr>
        <w:autoSpaceDE w:val="0"/>
        <w:autoSpaceDN w:val="0"/>
        <w:adjustRightInd w:val="0"/>
        <w:rPr>
          <w:rFonts w:ascii="仿宋" w:hAnsi="仿宋" w:eastAsia="仿宋" w:cs="宋体"/>
          <w:color w:val="auto"/>
          <w:szCs w:val="21"/>
        </w:rPr>
      </w:pPr>
    </w:p>
    <w:p w14:paraId="7145C06A">
      <w:pPr>
        <w:autoSpaceDE w:val="0"/>
        <w:autoSpaceDN w:val="0"/>
        <w:adjustRightInd w:val="0"/>
        <w:rPr>
          <w:rFonts w:ascii="仿宋" w:hAnsi="仿宋" w:eastAsia="仿宋" w:cs="宋体"/>
          <w:color w:val="auto"/>
          <w:szCs w:val="21"/>
        </w:rPr>
      </w:pPr>
    </w:p>
    <w:p w14:paraId="35AE685C">
      <w:pPr>
        <w:autoSpaceDE w:val="0"/>
        <w:autoSpaceDN w:val="0"/>
        <w:adjustRightInd w:val="0"/>
        <w:rPr>
          <w:rFonts w:ascii="仿宋" w:hAnsi="仿宋" w:eastAsia="仿宋" w:cs="宋体"/>
          <w:color w:val="auto"/>
          <w:szCs w:val="21"/>
        </w:rPr>
      </w:pPr>
    </w:p>
    <w:p w14:paraId="0FBEDF15">
      <w:pPr>
        <w:autoSpaceDE w:val="0"/>
        <w:autoSpaceDN w:val="0"/>
        <w:adjustRightInd w:val="0"/>
        <w:rPr>
          <w:rFonts w:ascii="仿宋" w:hAnsi="仿宋" w:eastAsia="仿宋" w:cs="宋体"/>
          <w:color w:val="auto"/>
          <w:szCs w:val="21"/>
        </w:rPr>
      </w:pPr>
    </w:p>
    <w:p w14:paraId="674B5E35">
      <w:pPr>
        <w:autoSpaceDE w:val="0"/>
        <w:autoSpaceDN w:val="0"/>
        <w:adjustRightInd w:val="0"/>
        <w:rPr>
          <w:rFonts w:ascii="仿宋" w:hAnsi="仿宋" w:eastAsia="仿宋" w:cs="宋体"/>
          <w:color w:val="auto"/>
          <w:szCs w:val="21"/>
        </w:rPr>
      </w:pPr>
    </w:p>
    <w:p w14:paraId="3ECC5B1F">
      <w:pPr>
        <w:autoSpaceDE w:val="0"/>
        <w:autoSpaceDN w:val="0"/>
        <w:adjustRightInd w:val="0"/>
        <w:rPr>
          <w:rFonts w:ascii="仿宋" w:hAnsi="仿宋" w:eastAsia="仿宋" w:cs="宋体"/>
          <w:color w:val="auto"/>
          <w:szCs w:val="21"/>
        </w:rPr>
      </w:pPr>
    </w:p>
    <w:p w14:paraId="3F460A8B">
      <w:pPr>
        <w:autoSpaceDE w:val="0"/>
        <w:autoSpaceDN w:val="0"/>
        <w:adjustRightInd w:val="0"/>
        <w:rPr>
          <w:rFonts w:ascii="仿宋" w:hAnsi="仿宋" w:eastAsia="仿宋" w:cs="宋体"/>
          <w:color w:val="auto"/>
          <w:szCs w:val="21"/>
        </w:rPr>
      </w:pPr>
    </w:p>
    <w:p w14:paraId="2253FEC7">
      <w:pPr>
        <w:autoSpaceDE w:val="0"/>
        <w:autoSpaceDN w:val="0"/>
        <w:adjustRightInd w:val="0"/>
        <w:spacing w:line="360" w:lineRule="auto"/>
        <w:ind w:firstLine="1260" w:firstLineChars="450"/>
        <w:rPr>
          <w:rFonts w:ascii="仿宋" w:hAnsi="仿宋" w:eastAsia="仿宋" w:cs="宋体"/>
          <w:b/>
          <w:bCs/>
          <w:color w:val="auto"/>
          <w:sz w:val="32"/>
          <w:u w:val="single"/>
        </w:rPr>
      </w:pPr>
      <w:r>
        <w:rPr>
          <w:rFonts w:hint="eastAsia" w:ascii="仿宋" w:hAnsi="仿宋" w:eastAsia="仿宋" w:cs="宋体"/>
          <w:color w:val="auto"/>
          <w:sz w:val="28"/>
          <w:szCs w:val="28"/>
        </w:rPr>
        <w:t>磋商供应商名称：</w:t>
      </w:r>
      <w:bookmarkStart w:id="222" w:name="_Toc5751"/>
      <w:bookmarkStart w:id="223" w:name="_Toc23858"/>
    </w:p>
    <w:p w14:paraId="0D1CC699">
      <w:pPr>
        <w:autoSpaceDE w:val="0"/>
        <w:autoSpaceDN w:val="0"/>
        <w:adjustRightInd w:val="0"/>
        <w:spacing w:line="360" w:lineRule="auto"/>
        <w:ind w:firstLine="1260" w:firstLineChars="450"/>
        <w:rPr>
          <w:rFonts w:ascii="仿宋" w:hAnsi="仿宋" w:eastAsia="仿宋" w:cs="宋体"/>
          <w:color w:val="auto"/>
          <w:sz w:val="28"/>
          <w:szCs w:val="28"/>
        </w:rPr>
      </w:pPr>
      <w:r>
        <w:rPr>
          <w:rFonts w:hint="eastAsia" w:ascii="仿宋" w:hAnsi="仿宋" w:eastAsia="仿宋" w:cs="宋体"/>
          <w:color w:val="auto"/>
          <w:sz w:val="28"/>
          <w:szCs w:val="28"/>
        </w:rPr>
        <w:t>日          期：年月日</w:t>
      </w:r>
    </w:p>
    <w:p w14:paraId="737F9138">
      <w:pPr>
        <w:autoSpaceDE w:val="0"/>
        <w:autoSpaceDN w:val="0"/>
        <w:adjustRightInd w:val="0"/>
        <w:jc w:val="center"/>
        <w:outlineLvl w:val="1"/>
        <w:rPr>
          <w:rFonts w:ascii="仿宋" w:hAnsi="仿宋" w:eastAsia="仿宋" w:cs="宋体"/>
          <w:b/>
          <w:bCs/>
          <w:color w:val="auto"/>
          <w:sz w:val="24"/>
          <w:lang w:val="zh-CN"/>
        </w:rPr>
      </w:pPr>
      <w:r>
        <w:rPr>
          <w:rFonts w:hint="eastAsia" w:ascii="仿宋" w:hAnsi="仿宋" w:eastAsia="仿宋" w:cs="宋体"/>
          <w:b/>
          <w:color w:val="auto"/>
          <w:sz w:val="44"/>
          <w:szCs w:val="44"/>
        </w:rPr>
        <w:br w:type="page"/>
      </w:r>
      <w:bookmarkEnd w:id="222"/>
      <w:bookmarkEnd w:id="223"/>
      <w:bookmarkStart w:id="224" w:name="_Toc149035953"/>
      <w:bookmarkStart w:id="225" w:name="_Toc509701426"/>
      <w:bookmarkStart w:id="226" w:name="_Toc17500"/>
      <w:bookmarkStart w:id="227" w:name="_Toc509775809"/>
      <w:bookmarkStart w:id="228" w:name="_Toc211783342"/>
      <w:bookmarkStart w:id="229" w:name="_Toc11320441"/>
      <w:bookmarkStart w:id="230" w:name="_Toc533331084"/>
      <w:bookmarkStart w:id="231" w:name="_Toc533330957"/>
      <w:r>
        <w:rPr>
          <w:rFonts w:hint="eastAsia" w:ascii="仿宋" w:hAnsi="仿宋" w:eastAsia="仿宋" w:cs="宋体"/>
          <w:b/>
          <w:bCs/>
          <w:color w:val="auto"/>
          <w:sz w:val="24"/>
          <w:lang w:val="zh-CN"/>
        </w:rPr>
        <w:t>响应文件目录</w:t>
      </w:r>
      <w:bookmarkEnd w:id="224"/>
      <w:bookmarkEnd w:id="225"/>
      <w:bookmarkEnd w:id="226"/>
      <w:bookmarkEnd w:id="227"/>
    </w:p>
    <w:p w14:paraId="4A94DAA2">
      <w:pPr>
        <w:autoSpaceDE w:val="0"/>
        <w:autoSpaceDN w:val="0"/>
        <w:adjustRightInd w:val="0"/>
        <w:rPr>
          <w:rFonts w:ascii="仿宋" w:hAnsi="仿宋" w:eastAsia="仿宋" w:cs="宋体"/>
          <w:b/>
          <w:bCs/>
          <w:color w:val="auto"/>
          <w:szCs w:val="21"/>
        </w:rPr>
      </w:pPr>
    </w:p>
    <w:p w14:paraId="001DDDAD">
      <w:pPr>
        <w:autoSpaceDE w:val="0"/>
        <w:autoSpaceDN w:val="0"/>
        <w:adjustRightInd w:val="0"/>
        <w:spacing w:line="360" w:lineRule="auto"/>
        <w:ind w:firstLine="420" w:firstLineChars="200"/>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根据磋商文件第六章提供的格式编写目录，目录须标注页码，同时为方便评审，须在目录前填写响应文件导读表，目录和导读表便于评委在评审时有效查找响应文件的响应情况，请各供应商认真编写填报。</w:t>
      </w:r>
    </w:p>
    <w:p w14:paraId="041D2430">
      <w:pPr>
        <w:autoSpaceDE w:val="0"/>
        <w:autoSpaceDN w:val="0"/>
        <w:adjustRightInd w:val="0"/>
        <w:jc w:val="center"/>
        <w:outlineLvl w:val="1"/>
        <w:rPr>
          <w:rFonts w:ascii="仿宋" w:hAnsi="仿宋" w:eastAsia="仿宋" w:cs="宋体"/>
          <w:b/>
          <w:bCs/>
          <w:color w:val="auto"/>
          <w:sz w:val="24"/>
          <w:lang w:val="zh-CN"/>
        </w:rPr>
      </w:pPr>
      <w:r>
        <w:rPr>
          <w:rFonts w:hint="eastAsia" w:ascii="仿宋" w:hAnsi="仿宋" w:eastAsia="仿宋" w:cs="宋体"/>
          <w:bCs/>
          <w:color w:val="auto"/>
          <w:szCs w:val="21"/>
        </w:rPr>
        <w:br w:type="page"/>
      </w:r>
      <w:bookmarkStart w:id="232" w:name="_Toc149035954"/>
      <w:bookmarkStart w:id="233" w:name="_Toc509605551"/>
      <w:bookmarkStart w:id="234" w:name="_Toc507683119"/>
      <w:bookmarkStart w:id="235" w:name="_Toc494528985"/>
      <w:bookmarkStart w:id="236" w:name="_Toc509775810"/>
      <w:bookmarkStart w:id="237" w:name="_Toc509701427"/>
      <w:bookmarkStart w:id="238" w:name="_Toc4680"/>
      <w:r>
        <w:rPr>
          <w:rFonts w:hint="eastAsia" w:ascii="仿宋" w:hAnsi="仿宋" w:eastAsia="仿宋" w:cs="宋体"/>
          <w:b/>
          <w:bCs/>
          <w:color w:val="auto"/>
          <w:sz w:val="24"/>
          <w:lang w:val="zh-CN"/>
        </w:rPr>
        <w:t>响应文件导读表</w:t>
      </w:r>
      <w:bookmarkEnd w:id="232"/>
      <w:bookmarkEnd w:id="233"/>
      <w:bookmarkEnd w:id="234"/>
      <w:bookmarkEnd w:id="235"/>
      <w:bookmarkEnd w:id="236"/>
      <w:bookmarkEnd w:id="237"/>
      <w:bookmarkEnd w:id="238"/>
    </w:p>
    <w:p w14:paraId="4D68F619">
      <w:pPr>
        <w:autoSpaceDE w:val="0"/>
        <w:autoSpaceDN w:val="0"/>
        <w:adjustRightInd w:val="0"/>
        <w:spacing w:line="360" w:lineRule="auto"/>
        <w:rPr>
          <w:rFonts w:ascii="仿宋" w:hAnsi="仿宋" w:eastAsia="仿宋" w:cs="宋体"/>
          <w:b/>
          <w:color w:val="auto"/>
          <w:sz w:val="24"/>
        </w:rPr>
      </w:pPr>
    </w:p>
    <w:tbl>
      <w:tblPr>
        <w:tblStyle w:val="20"/>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2268"/>
        <w:gridCol w:w="2268"/>
        <w:gridCol w:w="2267"/>
        <w:gridCol w:w="2268"/>
      </w:tblGrid>
      <w:tr w14:paraId="33484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jc w:val="center"/>
        </w:trPr>
        <w:tc>
          <w:tcPr>
            <w:tcW w:w="2268" w:type="dxa"/>
            <w:vAlign w:val="center"/>
          </w:tcPr>
          <w:p w14:paraId="7332F12A">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竞争性磋商采购文件要求</w:t>
            </w:r>
          </w:p>
        </w:tc>
        <w:tc>
          <w:tcPr>
            <w:tcW w:w="2268" w:type="dxa"/>
            <w:vAlign w:val="center"/>
          </w:tcPr>
          <w:p w14:paraId="66B6A900">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响应文件响应</w:t>
            </w:r>
          </w:p>
        </w:tc>
        <w:tc>
          <w:tcPr>
            <w:tcW w:w="2267" w:type="dxa"/>
            <w:vAlign w:val="center"/>
          </w:tcPr>
          <w:p w14:paraId="44D16518">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响应情况</w:t>
            </w:r>
          </w:p>
        </w:tc>
        <w:tc>
          <w:tcPr>
            <w:tcW w:w="2268" w:type="dxa"/>
            <w:vAlign w:val="center"/>
          </w:tcPr>
          <w:p w14:paraId="55F205AA">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对应页码</w:t>
            </w:r>
          </w:p>
        </w:tc>
      </w:tr>
      <w:tr w14:paraId="4729C4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jc w:val="center"/>
        </w:trPr>
        <w:tc>
          <w:tcPr>
            <w:tcW w:w="9071" w:type="dxa"/>
            <w:gridSpan w:val="4"/>
            <w:vAlign w:val="center"/>
          </w:tcPr>
          <w:p w14:paraId="3C3DE005">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资格要求</w:t>
            </w:r>
          </w:p>
        </w:tc>
      </w:tr>
      <w:tr w14:paraId="4AA6C2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268" w:type="dxa"/>
            <w:vAlign w:val="center"/>
          </w:tcPr>
          <w:p w14:paraId="098C2D3B">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对照磋商文件第一章第二款资格要求填写磋商文件要求</w:t>
            </w:r>
          </w:p>
        </w:tc>
        <w:tc>
          <w:tcPr>
            <w:tcW w:w="2268" w:type="dxa"/>
            <w:vAlign w:val="center"/>
          </w:tcPr>
          <w:p w14:paraId="1EE199FF">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填写响应文件中响应内容所在章节</w:t>
            </w:r>
          </w:p>
        </w:tc>
        <w:tc>
          <w:tcPr>
            <w:tcW w:w="2267" w:type="dxa"/>
            <w:vAlign w:val="center"/>
          </w:tcPr>
          <w:p w14:paraId="069FBCE9">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填写具体响应情况</w:t>
            </w:r>
          </w:p>
        </w:tc>
        <w:tc>
          <w:tcPr>
            <w:tcW w:w="2268" w:type="dxa"/>
            <w:vAlign w:val="center"/>
          </w:tcPr>
          <w:p w14:paraId="6BCCE72C">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填写证明响应文件响应磋商文件要求的证明材料所在页码</w:t>
            </w:r>
          </w:p>
        </w:tc>
      </w:tr>
      <w:tr w14:paraId="086DEC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jc w:val="center"/>
        </w:trPr>
        <w:tc>
          <w:tcPr>
            <w:tcW w:w="9071" w:type="dxa"/>
            <w:gridSpan w:val="4"/>
            <w:vAlign w:val="center"/>
          </w:tcPr>
          <w:p w14:paraId="004F6624">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采购需求</w:t>
            </w:r>
          </w:p>
        </w:tc>
      </w:tr>
      <w:tr w14:paraId="6AA8F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jc w:val="center"/>
        </w:trPr>
        <w:tc>
          <w:tcPr>
            <w:tcW w:w="6803" w:type="dxa"/>
            <w:gridSpan w:val="3"/>
            <w:vAlign w:val="center"/>
          </w:tcPr>
          <w:p w14:paraId="3E9F7F10">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按磋商文件第六章采购需求响应偏离表填写具体内容</w:t>
            </w:r>
          </w:p>
        </w:tc>
        <w:tc>
          <w:tcPr>
            <w:tcW w:w="2268" w:type="dxa"/>
            <w:vAlign w:val="center"/>
          </w:tcPr>
          <w:p w14:paraId="61D427E9">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填写所在页码</w:t>
            </w:r>
          </w:p>
        </w:tc>
      </w:tr>
      <w:tr w14:paraId="0A893D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jc w:val="center"/>
        </w:trPr>
        <w:tc>
          <w:tcPr>
            <w:tcW w:w="9071" w:type="dxa"/>
            <w:gridSpan w:val="4"/>
            <w:vAlign w:val="center"/>
          </w:tcPr>
          <w:p w14:paraId="33CCDB26">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评分响应</w:t>
            </w:r>
          </w:p>
        </w:tc>
      </w:tr>
      <w:tr w14:paraId="4AA4D7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jc w:val="center"/>
        </w:trPr>
        <w:tc>
          <w:tcPr>
            <w:tcW w:w="2268" w:type="dxa"/>
            <w:vAlign w:val="center"/>
          </w:tcPr>
          <w:p w14:paraId="0CEFBEF1">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按照磋商文件第四章评分细则填写评分因素</w:t>
            </w:r>
          </w:p>
        </w:tc>
        <w:tc>
          <w:tcPr>
            <w:tcW w:w="2268" w:type="dxa"/>
            <w:vAlign w:val="center"/>
          </w:tcPr>
          <w:p w14:paraId="45EAF889">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填写响应文件中响应内容所在章节</w:t>
            </w:r>
          </w:p>
        </w:tc>
        <w:tc>
          <w:tcPr>
            <w:tcW w:w="2267" w:type="dxa"/>
            <w:vAlign w:val="center"/>
          </w:tcPr>
          <w:p w14:paraId="75CDBF25">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填写具体响应情况</w:t>
            </w:r>
          </w:p>
        </w:tc>
        <w:tc>
          <w:tcPr>
            <w:tcW w:w="2268" w:type="dxa"/>
            <w:vAlign w:val="center"/>
          </w:tcPr>
          <w:p w14:paraId="146E6C5F">
            <w:pPr>
              <w:tabs>
                <w:tab w:val="left" w:pos="360"/>
              </w:tabs>
              <w:autoSpaceDE w:val="0"/>
              <w:autoSpaceDN w:val="0"/>
              <w:adjustRightInd w:val="0"/>
              <w:spacing w:line="360" w:lineRule="auto"/>
              <w:jc w:val="center"/>
              <w:rPr>
                <w:rFonts w:ascii="仿宋" w:hAnsi="仿宋" w:eastAsia="仿宋" w:cs="宋体"/>
                <w:snapToGrid w:val="0"/>
                <w:color w:val="auto"/>
                <w:kern w:val="0"/>
                <w:szCs w:val="21"/>
                <w:lang w:val="zh-CN"/>
              </w:rPr>
            </w:pPr>
            <w:r>
              <w:rPr>
                <w:rFonts w:hint="eastAsia" w:ascii="仿宋" w:hAnsi="仿宋" w:eastAsia="仿宋" w:cs="宋体"/>
                <w:snapToGrid w:val="0"/>
                <w:color w:val="auto"/>
                <w:kern w:val="0"/>
                <w:szCs w:val="21"/>
                <w:lang w:val="zh-CN"/>
              </w:rPr>
              <w:t>填写证明响应文件响应磋商文件要求的证明材料所在页码</w:t>
            </w:r>
          </w:p>
        </w:tc>
      </w:tr>
    </w:tbl>
    <w:p w14:paraId="6E1CCA6C">
      <w:pPr>
        <w:autoSpaceDE w:val="0"/>
        <w:autoSpaceDN w:val="0"/>
        <w:adjustRightInd w:val="0"/>
        <w:spacing w:line="360" w:lineRule="auto"/>
        <w:ind w:firstLine="945" w:firstLineChars="450"/>
        <w:rPr>
          <w:rFonts w:ascii="仿宋" w:hAnsi="仿宋" w:eastAsia="仿宋" w:cs="宋体"/>
          <w:bCs/>
          <w:color w:val="auto"/>
          <w:szCs w:val="21"/>
        </w:rPr>
      </w:pPr>
    </w:p>
    <w:p w14:paraId="7FCE076A">
      <w:pPr>
        <w:keepNext w:val="0"/>
        <w:keepLines w:val="0"/>
        <w:pageBreakBefore w:val="0"/>
        <w:widowControl w:val="0"/>
        <w:numPr>
          <w:ilvl w:val="4"/>
          <w:numId w:val="31"/>
        </w:numPr>
        <w:tabs>
          <w:tab w:val="left" w:pos="540"/>
        </w:tabs>
        <w:kinsoku/>
        <w:wordWrap/>
        <w:overflowPunct/>
        <w:topLinePunct w:val="0"/>
        <w:autoSpaceDE w:val="0"/>
        <w:autoSpaceDN w:val="0"/>
        <w:bidi w:val="0"/>
        <w:adjustRightInd w:val="0"/>
        <w:snapToGrid/>
        <w:spacing w:line="360" w:lineRule="auto"/>
        <w:ind w:left="0" w:hanging="540"/>
        <w:textAlignment w:val="auto"/>
        <w:outlineLvl w:val="1"/>
        <w:rPr>
          <w:rFonts w:ascii="仿宋" w:hAnsi="仿宋" w:eastAsia="仿宋" w:cs="宋体"/>
          <w:b/>
          <w:bCs/>
          <w:color w:val="auto"/>
          <w:szCs w:val="21"/>
        </w:rPr>
      </w:pPr>
      <w:r>
        <w:rPr>
          <w:rFonts w:hint="eastAsia" w:ascii="仿宋" w:hAnsi="仿宋" w:eastAsia="仿宋" w:cs="宋体"/>
          <w:b/>
          <w:bCs/>
          <w:color w:val="auto"/>
          <w:szCs w:val="21"/>
        </w:rPr>
        <w:br w:type="page"/>
      </w:r>
      <w:bookmarkStart w:id="239" w:name="_Toc12106"/>
      <w:bookmarkStart w:id="240" w:name="_Toc149035955"/>
      <w:bookmarkStart w:id="241" w:name="_Toc342"/>
      <w:r>
        <w:rPr>
          <w:rFonts w:hint="eastAsia" w:ascii="仿宋" w:hAnsi="仿宋" w:eastAsia="仿宋" w:cs="宋体"/>
          <w:b/>
          <w:bCs/>
          <w:color w:val="auto"/>
          <w:szCs w:val="21"/>
        </w:rPr>
        <w:t>磋商书</w:t>
      </w:r>
      <w:bookmarkEnd w:id="239"/>
      <w:bookmarkEnd w:id="240"/>
      <w:bookmarkEnd w:id="241"/>
    </w:p>
    <w:p w14:paraId="64824561">
      <w:pPr>
        <w:pStyle w:val="14"/>
        <w:keepNext w:val="0"/>
        <w:keepLines w:val="0"/>
        <w:pageBreakBefore w:val="0"/>
        <w:widowControl w:val="0"/>
        <w:kinsoku/>
        <w:wordWrap/>
        <w:overflowPunct/>
        <w:topLinePunct w:val="0"/>
        <w:bidi w:val="0"/>
        <w:snapToGrid/>
        <w:spacing w:line="360" w:lineRule="auto"/>
        <w:ind w:left="0"/>
        <w:textAlignment w:val="auto"/>
        <w:rPr>
          <w:rFonts w:ascii="仿宋" w:hAnsi="仿宋" w:eastAsia="仿宋" w:cs="宋体"/>
          <w:b/>
          <w:color w:val="auto"/>
          <w:szCs w:val="21"/>
        </w:rPr>
      </w:pPr>
    </w:p>
    <w:p w14:paraId="102CCDE6">
      <w:pPr>
        <w:keepNext w:val="0"/>
        <w:keepLines w:val="0"/>
        <w:pageBreakBefore w:val="0"/>
        <w:widowControl w:val="0"/>
        <w:kinsoku/>
        <w:wordWrap/>
        <w:overflowPunct/>
        <w:topLinePunct w:val="0"/>
        <w:autoSpaceDE w:val="0"/>
        <w:autoSpaceDN w:val="0"/>
        <w:bidi w:val="0"/>
        <w:adjustRightInd w:val="0"/>
        <w:snapToGrid/>
        <w:spacing w:line="360" w:lineRule="auto"/>
        <w:ind w:left="0"/>
        <w:jc w:val="left"/>
        <w:textAlignment w:val="auto"/>
        <w:rPr>
          <w:rFonts w:ascii="仿宋" w:hAnsi="仿宋" w:eastAsia="仿宋" w:cs="宋体"/>
          <w:b/>
          <w:color w:val="auto"/>
          <w:kern w:val="0"/>
          <w:szCs w:val="21"/>
        </w:rPr>
      </w:pPr>
      <w:r>
        <w:rPr>
          <w:rFonts w:hint="eastAsia" w:ascii="仿宋" w:hAnsi="仿宋" w:eastAsia="仿宋" w:cs="宋体"/>
          <w:b/>
          <w:bCs/>
          <w:color w:val="auto"/>
          <w:szCs w:val="21"/>
          <w:u w:val="single"/>
        </w:rPr>
        <w:t>（采购代理机构）：</w:t>
      </w:r>
    </w:p>
    <w:p w14:paraId="00AF6ED5">
      <w:pPr>
        <w:keepNext w:val="0"/>
        <w:keepLines w:val="0"/>
        <w:pageBreakBefore w:val="0"/>
        <w:widowControl w:val="0"/>
        <w:kinsoku/>
        <w:wordWrap/>
        <w:overflowPunct/>
        <w:topLinePunct w:val="0"/>
        <w:autoSpaceDE w:val="0"/>
        <w:autoSpaceDN w:val="0"/>
        <w:bidi w:val="0"/>
        <w:adjustRightInd w:val="0"/>
        <w:snapToGrid/>
        <w:spacing w:line="360" w:lineRule="auto"/>
        <w:ind w:left="0" w:firstLine="462" w:firstLineChars="220"/>
        <w:textAlignment w:val="auto"/>
        <w:rPr>
          <w:rFonts w:ascii="仿宋" w:hAnsi="仿宋" w:eastAsia="仿宋" w:cs="宋体"/>
          <w:color w:val="auto"/>
          <w:kern w:val="0"/>
          <w:szCs w:val="21"/>
        </w:rPr>
      </w:pPr>
      <w:r>
        <w:rPr>
          <w:rFonts w:hint="eastAsia" w:ascii="仿宋" w:hAnsi="仿宋" w:eastAsia="仿宋" w:cs="宋体"/>
          <w:color w:val="auto"/>
          <w:kern w:val="0"/>
          <w:szCs w:val="21"/>
        </w:rPr>
        <w:t>依据贵方</w:t>
      </w:r>
      <w:r>
        <w:rPr>
          <w:rFonts w:hint="eastAsia" w:ascii="仿宋" w:hAnsi="仿宋" w:eastAsia="仿宋" w:cs="宋体"/>
          <w:b/>
          <w:color w:val="auto"/>
          <w:kern w:val="0"/>
          <w:szCs w:val="21"/>
          <w:u w:val="single"/>
        </w:rPr>
        <w:t>（项目名称/项目编号）</w:t>
      </w:r>
      <w:r>
        <w:rPr>
          <w:rFonts w:hint="eastAsia" w:ascii="仿宋" w:hAnsi="仿宋" w:eastAsia="仿宋" w:cs="宋体"/>
          <w:color w:val="auto"/>
          <w:kern w:val="0"/>
          <w:szCs w:val="21"/>
        </w:rPr>
        <w:t>项目采购货物及服务的磋商邀请，</w:t>
      </w:r>
      <w:r>
        <w:rPr>
          <w:rFonts w:hint="eastAsia" w:ascii="仿宋" w:hAnsi="仿宋" w:eastAsia="仿宋" w:cs="宋体"/>
          <w:b/>
          <w:color w:val="auto"/>
          <w:kern w:val="0"/>
          <w:szCs w:val="21"/>
        </w:rPr>
        <w:t>我方代表</w:t>
      </w:r>
      <w:r>
        <w:rPr>
          <w:rFonts w:hint="eastAsia" w:ascii="仿宋" w:hAnsi="仿宋" w:eastAsia="仿宋" w:cs="宋体"/>
          <w:b/>
          <w:color w:val="auto"/>
          <w:kern w:val="0"/>
          <w:szCs w:val="21"/>
          <w:u w:val="single"/>
        </w:rPr>
        <w:t>（姓名、职务）</w:t>
      </w:r>
      <w:r>
        <w:rPr>
          <w:rFonts w:hint="eastAsia" w:ascii="仿宋" w:hAnsi="仿宋" w:eastAsia="仿宋" w:cs="宋体"/>
          <w:color w:val="auto"/>
          <w:kern w:val="0"/>
          <w:szCs w:val="21"/>
        </w:rPr>
        <w:t>经正式授权并代表供应商</w:t>
      </w:r>
      <w:r>
        <w:rPr>
          <w:rFonts w:hint="eastAsia" w:ascii="仿宋" w:hAnsi="仿宋" w:eastAsia="仿宋" w:cs="宋体"/>
          <w:b/>
          <w:color w:val="auto"/>
          <w:kern w:val="0"/>
          <w:szCs w:val="21"/>
          <w:u w:val="single"/>
        </w:rPr>
        <w:t>（供应商的名称、地址）</w:t>
      </w:r>
      <w:r>
        <w:rPr>
          <w:rFonts w:hint="eastAsia" w:ascii="仿宋" w:hAnsi="仿宋" w:eastAsia="仿宋" w:cs="宋体"/>
          <w:color w:val="auto"/>
          <w:kern w:val="0"/>
          <w:szCs w:val="21"/>
        </w:rPr>
        <w:t>提交下述文件</w:t>
      </w:r>
      <w:r>
        <w:rPr>
          <w:rFonts w:hint="eastAsia" w:ascii="仿宋" w:hAnsi="仿宋" w:eastAsia="仿宋" w:cs="宋体"/>
          <w:b/>
          <w:color w:val="auto"/>
          <w:kern w:val="0"/>
          <w:szCs w:val="21"/>
        </w:rPr>
        <w:t xml:space="preserve">正本一份，副本 </w:t>
      </w:r>
      <w:r>
        <w:rPr>
          <w:rFonts w:ascii="仿宋" w:hAnsi="仿宋" w:eastAsia="仿宋" w:cs="宋体"/>
          <w:b/>
          <w:color w:val="auto"/>
          <w:kern w:val="0"/>
          <w:szCs w:val="21"/>
        </w:rPr>
        <w:t xml:space="preserve">  </w:t>
      </w:r>
      <w:r>
        <w:rPr>
          <w:rFonts w:hint="eastAsia" w:ascii="仿宋" w:hAnsi="仿宋" w:eastAsia="仿宋" w:cs="宋体"/>
          <w:b/>
          <w:color w:val="auto"/>
          <w:kern w:val="0"/>
          <w:szCs w:val="21"/>
        </w:rPr>
        <w:t>份</w:t>
      </w:r>
      <w:r>
        <w:rPr>
          <w:rFonts w:hint="eastAsia" w:ascii="仿宋" w:hAnsi="仿宋" w:eastAsia="仿宋" w:cs="宋体"/>
          <w:color w:val="auto"/>
          <w:kern w:val="0"/>
          <w:szCs w:val="21"/>
        </w:rPr>
        <w:t>。</w:t>
      </w:r>
    </w:p>
    <w:p w14:paraId="0FBF0340">
      <w:pPr>
        <w:keepNext w:val="0"/>
        <w:keepLines w:val="0"/>
        <w:pageBreakBefore w:val="0"/>
        <w:widowControl w:val="0"/>
        <w:numPr>
          <w:ilvl w:val="1"/>
          <w:numId w:val="32"/>
        </w:numPr>
        <w:tabs>
          <w:tab w:val="clear" w:pos="360"/>
        </w:tabs>
        <w:kinsoku/>
        <w:wordWrap/>
        <w:overflowPunct/>
        <w:topLinePunct w:val="0"/>
        <w:autoSpaceDE w:val="0"/>
        <w:autoSpaceDN w:val="0"/>
        <w:bidi w:val="0"/>
        <w:adjustRightInd w:val="0"/>
        <w:snapToGrid/>
        <w:spacing w:line="360" w:lineRule="auto"/>
        <w:ind w:left="0" w:hanging="420"/>
        <w:textAlignment w:val="auto"/>
        <w:rPr>
          <w:rFonts w:ascii="仿宋" w:hAnsi="仿宋" w:eastAsia="仿宋" w:cs="宋体"/>
          <w:color w:val="auto"/>
          <w:kern w:val="0"/>
          <w:szCs w:val="21"/>
        </w:rPr>
      </w:pPr>
      <w:r>
        <w:rPr>
          <w:rFonts w:hint="eastAsia" w:ascii="仿宋" w:hAnsi="仿宋" w:eastAsia="仿宋" w:cs="宋体"/>
          <w:color w:val="auto"/>
          <w:kern w:val="0"/>
          <w:szCs w:val="21"/>
        </w:rPr>
        <w:t>竞争性磋商响应文件；</w:t>
      </w:r>
    </w:p>
    <w:p w14:paraId="598FEDC9">
      <w:pPr>
        <w:keepNext w:val="0"/>
        <w:keepLines w:val="0"/>
        <w:pageBreakBefore w:val="0"/>
        <w:widowControl w:val="0"/>
        <w:numPr>
          <w:ilvl w:val="1"/>
          <w:numId w:val="32"/>
        </w:numPr>
        <w:tabs>
          <w:tab w:val="clear" w:pos="360"/>
        </w:tabs>
        <w:kinsoku/>
        <w:wordWrap/>
        <w:overflowPunct/>
        <w:topLinePunct w:val="0"/>
        <w:autoSpaceDE w:val="0"/>
        <w:autoSpaceDN w:val="0"/>
        <w:bidi w:val="0"/>
        <w:adjustRightInd w:val="0"/>
        <w:snapToGrid/>
        <w:spacing w:line="360" w:lineRule="auto"/>
        <w:ind w:left="0" w:hanging="420"/>
        <w:textAlignment w:val="auto"/>
        <w:rPr>
          <w:rFonts w:ascii="仿宋" w:hAnsi="仿宋" w:eastAsia="仿宋" w:cs="宋体"/>
          <w:color w:val="auto"/>
          <w:kern w:val="0"/>
          <w:szCs w:val="21"/>
        </w:rPr>
      </w:pPr>
      <w:r>
        <w:rPr>
          <w:rFonts w:hint="eastAsia" w:ascii="仿宋" w:hAnsi="仿宋" w:eastAsia="仿宋" w:cs="宋体"/>
          <w:color w:val="auto"/>
          <w:kern w:val="0"/>
          <w:szCs w:val="21"/>
        </w:rPr>
        <w:t>资格证明文件；</w:t>
      </w:r>
    </w:p>
    <w:p w14:paraId="2A20671A">
      <w:pPr>
        <w:keepNext w:val="0"/>
        <w:keepLines w:val="0"/>
        <w:pageBreakBefore w:val="0"/>
        <w:widowControl w:val="0"/>
        <w:kinsoku/>
        <w:wordWrap/>
        <w:overflowPunct/>
        <w:topLinePunct w:val="0"/>
        <w:autoSpaceDE w:val="0"/>
        <w:autoSpaceDN w:val="0"/>
        <w:bidi w:val="0"/>
        <w:adjustRightInd w:val="0"/>
        <w:snapToGrid/>
        <w:spacing w:line="360" w:lineRule="auto"/>
        <w:ind w:left="0" w:firstLine="422" w:firstLineChars="200"/>
        <w:textAlignment w:val="auto"/>
        <w:rPr>
          <w:rFonts w:ascii="仿宋" w:hAnsi="仿宋" w:eastAsia="仿宋" w:cs="宋体"/>
          <w:b/>
          <w:bCs/>
          <w:color w:val="auto"/>
          <w:kern w:val="0"/>
          <w:szCs w:val="21"/>
        </w:rPr>
      </w:pPr>
      <w:r>
        <w:rPr>
          <w:rFonts w:hint="eastAsia" w:ascii="仿宋" w:hAnsi="仿宋" w:eastAsia="仿宋" w:cs="宋体"/>
          <w:b/>
          <w:bCs/>
          <w:color w:val="auto"/>
          <w:kern w:val="0"/>
          <w:szCs w:val="21"/>
        </w:rPr>
        <w:t>并进行如下承诺声明：</w:t>
      </w:r>
    </w:p>
    <w:p w14:paraId="2932A2AD">
      <w:pPr>
        <w:keepNext w:val="0"/>
        <w:keepLines w:val="0"/>
        <w:pageBreakBefore w:val="0"/>
        <w:widowControl w:val="0"/>
        <w:numPr>
          <w:ilvl w:val="0"/>
          <w:numId w:val="33"/>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lang w:val="zh-CN"/>
        </w:rPr>
        <w:t>我公司在参加本次采购活动前</w:t>
      </w:r>
      <w:r>
        <w:rPr>
          <w:rFonts w:hint="eastAsia" w:ascii="仿宋" w:hAnsi="仿宋" w:eastAsia="仿宋" w:cs="宋体"/>
          <w:color w:val="auto"/>
          <w:kern w:val="0"/>
          <w:szCs w:val="21"/>
        </w:rPr>
        <w:t>3年内在经营活动中没有重大违法记录；</w:t>
      </w:r>
    </w:p>
    <w:p w14:paraId="54148045">
      <w:pPr>
        <w:keepNext w:val="0"/>
        <w:keepLines w:val="0"/>
        <w:pageBreakBefore w:val="0"/>
        <w:widowControl w:val="0"/>
        <w:numPr>
          <w:ilvl w:val="0"/>
          <w:numId w:val="33"/>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我公司在本响应文件中所提供的全部资格证明文件均真实有效，我方承诺对其真实性负责并承担相应后果；</w:t>
      </w:r>
    </w:p>
    <w:p w14:paraId="6A2BE705">
      <w:pPr>
        <w:keepNext w:val="0"/>
        <w:keepLines w:val="0"/>
        <w:pageBreakBefore w:val="0"/>
        <w:widowControl w:val="0"/>
        <w:numPr>
          <w:ilvl w:val="0"/>
          <w:numId w:val="33"/>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我公司在本响应文件中所响应的内容均将成为签订合同的依据，并承诺按响应内容提供相应服务；</w:t>
      </w:r>
    </w:p>
    <w:p w14:paraId="241B894A">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其它承诺：如有的话，可自行填写；</w:t>
      </w:r>
    </w:p>
    <w:p w14:paraId="46C7ACB6">
      <w:pPr>
        <w:pStyle w:val="7"/>
        <w:keepNext w:val="0"/>
        <w:keepLines w:val="0"/>
        <w:pageBreakBefore w:val="0"/>
        <w:widowControl w:val="0"/>
        <w:kinsoku/>
        <w:wordWrap/>
        <w:overflowPunct/>
        <w:topLinePunct w:val="0"/>
        <w:bidi w:val="0"/>
        <w:snapToGrid/>
        <w:spacing w:after="0" w:line="360" w:lineRule="auto"/>
        <w:ind w:left="0"/>
        <w:textAlignment w:val="auto"/>
        <w:rPr>
          <w:rFonts w:ascii="仿宋" w:hAnsi="仿宋" w:eastAsia="仿宋"/>
          <w:color w:val="auto"/>
        </w:rPr>
      </w:pPr>
    </w:p>
    <w:p w14:paraId="1469D072">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在此，我方宣布同意如下：</w:t>
      </w:r>
    </w:p>
    <w:p w14:paraId="59BA38C3">
      <w:pPr>
        <w:keepNext w:val="0"/>
        <w:keepLines w:val="0"/>
        <w:pageBreakBefore w:val="0"/>
        <w:widowControl w:val="0"/>
        <w:numPr>
          <w:ilvl w:val="6"/>
          <w:numId w:val="34"/>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所附《报价一览表》中规定的应提交和交付的货物/服务报价总价为</w:t>
      </w:r>
      <w:r>
        <w:rPr>
          <w:rFonts w:hint="eastAsia" w:ascii="仿宋" w:hAnsi="仿宋" w:eastAsia="仿宋" w:cs="宋体"/>
          <w:b/>
          <w:color w:val="auto"/>
          <w:kern w:val="0"/>
          <w:szCs w:val="21"/>
          <w:u w:val="single"/>
        </w:rPr>
        <w:t>（注明币种，并用文字和数字表示的报价总价）</w:t>
      </w:r>
      <w:r>
        <w:rPr>
          <w:rFonts w:hint="eastAsia" w:ascii="仿宋" w:hAnsi="仿宋" w:eastAsia="仿宋" w:cs="宋体"/>
          <w:color w:val="auto"/>
          <w:kern w:val="0"/>
          <w:szCs w:val="21"/>
        </w:rPr>
        <w:t>。</w:t>
      </w:r>
    </w:p>
    <w:p w14:paraId="73BC8A5F">
      <w:pPr>
        <w:keepNext w:val="0"/>
        <w:keepLines w:val="0"/>
        <w:pageBreakBefore w:val="0"/>
        <w:widowControl w:val="0"/>
        <w:numPr>
          <w:ilvl w:val="6"/>
          <w:numId w:val="34"/>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将按竞争性磋商采购文件的约定履行合同责任和义务。</w:t>
      </w:r>
    </w:p>
    <w:p w14:paraId="4FAB6C50">
      <w:pPr>
        <w:keepNext w:val="0"/>
        <w:keepLines w:val="0"/>
        <w:pageBreakBefore w:val="0"/>
        <w:widowControl w:val="0"/>
        <w:numPr>
          <w:ilvl w:val="6"/>
          <w:numId w:val="34"/>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已详细审查全部竞争性磋商采购文件，包括</w:t>
      </w:r>
      <w:r>
        <w:rPr>
          <w:rFonts w:hint="eastAsia" w:ascii="仿宋" w:hAnsi="仿宋" w:eastAsia="仿宋" w:cs="宋体"/>
          <w:color w:val="auto"/>
          <w:kern w:val="0"/>
          <w:szCs w:val="21"/>
          <w:u w:val="single"/>
        </w:rPr>
        <w:t>（补充文件等）</w:t>
      </w:r>
      <w:r>
        <w:rPr>
          <w:rFonts w:hint="eastAsia" w:ascii="仿宋" w:hAnsi="仿宋" w:eastAsia="仿宋" w:cs="宋体"/>
          <w:color w:val="auto"/>
          <w:kern w:val="0"/>
          <w:szCs w:val="21"/>
        </w:rPr>
        <w:t>，对此无异议。</w:t>
      </w:r>
    </w:p>
    <w:p w14:paraId="59367431">
      <w:pPr>
        <w:keepNext w:val="0"/>
        <w:keepLines w:val="0"/>
        <w:pageBreakBefore w:val="0"/>
        <w:widowControl w:val="0"/>
        <w:numPr>
          <w:ilvl w:val="6"/>
          <w:numId w:val="34"/>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本竞争性磋商响应文件的有效期自开标之日起共</w:t>
      </w:r>
      <w:r>
        <w:rPr>
          <w:rFonts w:hint="eastAsia" w:ascii="仿宋" w:hAnsi="仿宋" w:eastAsia="仿宋" w:cs="宋体"/>
          <w:color w:val="auto"/>
          <w:kern w:val="0"/>
          <w:szCs w:val="21"/>
          <w:u w:val="single"/>
        </w:rPr>
        <w:t>90个</w:t>
      </w:r>
      <w:r>
        <w:rPr>
          <w:rFonts w:hint="eastAsia" w:ascii="仿宋" w:hAnsi="仿宋" w:eastAsia="仿宋" w:cs="宋体"/>
          <w:color w:val="auto"/>
          <w:kern w:val="0"/>
          <w:szCs w:val="21"/>
        </w:rPr>
        <w:t>日历日。</w:t>
      </w:r>
    </w:p>
    <w:p w14:paraId="1429814B">
      <w:pPr>
        <w:keepNext w:val="0"/>
        <w:keepLines w:val="0"/>
        <w:pageBreakBefore w:val="0"/>
        <w:widowControl w:val="0"/>
        <w:numPr>
          <w:ilvl w:val="6"/>
          <w:numId w:val="34"/>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同意提供按照贵方可能要求的与其报价有关的一切数据或资料。</w:t>
      </w:r>
    </w:p>
    <w:p w14:paraId="50F06FC8">
      <w:pPr>
        <w:keepNext w:val="0"/>
        <w:keepLines w:val="0"/>
        <w:pageBreakBefore w:val="0"/>
        <w:widowControl w:val="0"/>
        <w:numPr>
          <w:ilvl w:val="6"/>
          <w:numId w:val="34"/>
        </w:numPr>
        <w:tabs>
          <w:tab w:val="left" w:pos="840"/>
        </w:tabs>
        <w:kinsoku/>
        <w:wordWrap/>
        <w:overflowPunct/>
        <w:topLinePunct w:val="0"/>
        <w:autoSpaceDE w:val="0"/>
        <w:autoSpaceDN w:val="0"/>
        <w:bidi w:val="0"/>
        <w:adjustRightInd w:val="0"/>
        <w:snapToGrid/>
        <w:spacing w:line="360" w:lineRule="auto"/>
        <w:ind w:left="0" w:firstLine="420" w:firstLineChars="200"/>
        <w:textAlignment w:val="auto"/>
        <w:rPr>
          <w:rFonts w:ascii="仿宋" w:hAnsi="仿宋" w:eastAsia="仿宋" w:cs="宋体"/>
          <w:color w:val="auto"/>
          <w:kern w:val="0"/>
          <w:szCs w:val="21"/>
        </w:rPr>
      </w:pPr>
      <w:r>
        <w:rPr>
          <w:rFonts w:hint="eastAsia" w:ascii="仿宋" w:hAnsi="仿宋" w:eastAsia="仿宋" w:cs="宋体"/>
          <w:color w:val="auto"/>
          <w:kern w:val="0"/>
          <w:szCs w:val="21"/>
        </w:rPr>
        <w:t>与本报价有关的一切正式往来信函请寄：。</w:t>
      </w:r>
    </w:p>
    <w:p w14:paraId="090A7CDA">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ascii="仿宋" w:hAnsi="仿宋" w:eastAsia="仿宋" w:cs="宋体"/>
          <w:color w:val="auto"/>
          <w:kern w:val="0"/>
          <w:szCs w:val="21"/>
        </w:rPr>
      </w:pPr>
    </w:p>
    <w:p w14:paraId="793D0DDC">
      <w:pPr>
        <w:pStyle w:val="7"/>
        <w:keepNext w:val="0"/>
        <w:keepLines w:val="0"/>
        <w:pageBreakBefore w:val="0"/>
        <w:widowControl w:val="0"/>
        <w:kinsoku/>
        <w:wordWrap/>
        <w:overflowPunct/>
        <w:topLinePunct w:val="0"/>
        <w:bidi w:val="0"/>
        <w:snapToGrid/>
        <w:spacing w:after="0" w:line="360" w:lineRule="auto"/>
        <w:ind w:left="0"/>
        <w:textAlignment w:val="auto"/>
        <w:rPr>
          <w:rFonts w:ascii="仿宋" w:hAnsi="仿宋" w:eastAsia="仿宋"/>
          <w:color w:val="auto"/>
        </w:rPr>
      </w:pPr>
    </w:p>
    <w:p w14:paraId="4B2A2AFB">
      <w:pPr>
        <w:pStyle w:val="7"/>
        <w:keepNext w:val="0"/>
        <w:keepLines w:val="0"/>
        <w:pageBreakBefore w:val="0"/>
        <w:widowControl w:val="0"/>
        <w:kinsoku/>
        <w:wordWrap/>
        <w:overflowPunct/>
        <w:topLinePunct w:val="0"/>
        <w:bidi w:val="0"/>
        <w:snapToGrid/>
        <w:spacing w:after="0" w:line="360" w:lineRule="auto"/>
        <w:ind w:left="0"/>
        <w:textAlignment w:val="auto"/>
        <w:rPr>
          <w:rFonts w:ascii="仿宋" w:hAnsi="仿宋" w:eastAsia="仿宋"/>
          <w:color w:val="auto"/>
        </w:rPr>
      </w:pPr>
    </w:p>
    <w:p w14:paraId="1E8A51E0">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ascii="仿宋" w:hAnsi="仿宋" w:eastAsia="仿宋" w:cs="宋体"/>
          <w:color w:val="auto"/>
          <w:kern w:val="0"/>
          <w:szCs w:val="21"/>
        </w:rPr>
      </w:pPr>
      <w:r>
        <w:rPr>
          <w:rFonts w:hint="eastAsia" w:ascii="仿宋" w:hAnsi="仿宋" w:eastAsia="仿宋" w:cs="宋体"/>
          <w:color w:val="auto"/>
          <w:kern w:val="0"/>
          <w:szCs w:val="21"/>
        </w:rPr>
        <w:t>供    应    商：（公章）</w:t>
      </w:r>
    </w:p>
    <w:p w14:paraId="2F8E1FC8">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ascii="仿宋" w:hAnsi="仿宋" w:eastAsia="仿宋" w:cs="宋体"/>
          <w:color w:val="auto"/>
          <w:kern w:val="0"/>
          <w:szCs w:val="21"/>
        </w:rPr>
      </w:pPr>
      <w:r>
        <w:rPr>
          <w:rFonts w:hint="eastAsia" w:ascii="仿宋" w:hAnsi="仿宋" w:eastAsia="仿宋" w:cs="宋体"/>
          <w:color w:val="auto"/>
          <w:kern w:val="0"/>
          <w:szCs w:val="21"/>
        </w:rPr>
        <w:t>通  讯  地  址：</w:t>
      </w:r>
    </w:p>
    <w:p w14:paraId="7FE16EE5">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ascii="仿宋" w:hAnsi="仿宋" w:eastAsia="仿宋" w:cs="宋体"/>
          <w:color w:val="auto"/>
          <w:kern w:val="0"/>
          <w:szCs w:val="21"/>
        </w:rPr>
      </w:pPr>
      <w:r>
        <w:rPr>
          <w:rFonts w:hint="eastAsia" w:ascii="仿宋" w:hAnsi="仿宋" w:eastAsia="仿宋" w:cs="宋体"/>
          <w:color w:val="auto"/>
          <w:kern w:val="0"/>
          <w:szCs w:val="21"/>
        </w:rPr>
        <w:t>传          真：</w:t>
      </w:r>
    </w:p>
    <w:p w14:paraId="13661AFB">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ascii="仿宋" w:hAnsi="仿宋" w:eastAsia="仿宋" w:cs="宋体"/>
          <w:color w:val="auto"/>
          <w:kern w:val="0"/>
          <w:szCs w:val="21"/>
        </w:rPr>
      </w:pPr>
      <w:r>
        <w:rPr>
          <w:rFonts w:hint="eastAsia" w:ascii="仿宋" w:hAnsi="仿宋" w:eastAsia="仿宋" w:cs="宋体"/>
          <w:color w:val="auto"/>
          <w:kern w:val="0"/>
          <w:szCs w:val="21"/>
        </w:rPr>
        <w:t>电          话：</w:t>
      </w:r>
    </w:p>
    <w:p w14:paraId="5781E375">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ascii="仿宋" w:hAnsi="仿宋" w:eastAsia="仿宋" w:cs="宋体"/>
          <w:color w:val="auto"/>
          <w:kern w:val="0"/>
          <w:szCs w:val="21"/>
        </w:rPr>
      </w:pPr>
      <w:r>
        <w:rPr>
          <w:rFonts w:hint="eastAsia" w:ascii="仿宋" w:hAnsi="仿宋" w:eastAsia="仿宋" w:cs="宋体"/>
          <w:color w:val="auto"/>
          <w:kern w:val="0"/>
          <w:szCs w:val="21"/>
        </w:rPr>
        <w:t>电  子  函  件：</w:t>
      </w:r>
    </w:p>
    <w:p w14:paraId="3F248CDF">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hint="eastAsia" w:ascii="仿宋" w:hAnsi="仿宋" w:eastAsia="仿宋" w:cs="宋体"/>
          <w:color w:val="auto"/>
          <w:kern w:val="0"/>
          <w:szCs w:val="21"/>
        </w:rPr>
      </w:pPr>
      <w:r>
        <w:rPr>
          <w:rFonts w:hint="eastAsia" w:ascii="仿宋" w:hAnsi="仿宋" w:eastAsia="仿宋" w:cs="宋体"/>
          <w:color w:val="auto"/>
          <w:kern w:val="0"/>
          <w:szCs w:val="21"/>
        </w:rPr>
        <w:t>授权 代表 签字：</w:t>
      </w:r>
    </w:p>
    <w:p w14:paraId="5DBEE050">
      <w:pPr>
        <w:keepNext w:val="0"/>
        <w:keepLines w:val="0"/>
        <w:pageBreakBefore w:val="0"/>
        <w:widowControl w:val="0"/>
        <w:kinsoku/>
        <w:wordWrap/>
        <w:overflowPunct/>
        <w:topLinePunct w:val="0"/>
        <w:autoSpaceDE w:val="0"/>
        <w:autoSpaceDN w:val="0"/>
        <w:bidi w:val="0"/>
        <w:adjustRightInd w:val="0"/>
        <w:snapToGrid/>
        <w:spacing w:line="360" w:lineRule="auto"/>
        <w:ind w:left="0" w:firstLine="420" w:firstLineChars="200"/>
        <w:jc w:val="left"/>
        <w:textAlignment w:val="auto"/>
        <w:rPr>
          <w:rFonts w:hint="eastAsia" w:ascii="仿宋" w:hAnsi="仿宋" w:eastAsia="仿宋" w:cs="宋体"/>
          <w:color w:val="auto"/>
          <w:kern w:val="0"/>
          <w:szCs w:val="21"/>
        </w:rPr>
      </w:pPr>
      <w:r>
        <w:rPr>
          <w:rFonts w:hint="eastAsia" w:ascii="仿宋" w:hAnsi="仿宋" w:eastAsia="仿宋" w:cs="宋体"/>
          <w:color w:val="auto"/>
          <w:kern w:val="0"/>
          <w:szCs w:val="21"/>
        </w:rPr>
        <w:t>日          期：</w:t>
      </w:r>
      <w:bookmarkStart w:id="242" w:name="_Toc149035956"/>
      <w:bookmarkStart w:id="243" w:name="_Toc30680"/>
    </w:p>
    <w:p w14:paraId="740971C2">
      <w:pPr>
        <w:rPr>
          <w:rFonts w:ascii="仿宋" w:hAnsi="仿宋" w:eastAsia="仿宋" w:cs="宋体"/>
          <w:b/>
          <w:bCs/>
          <w:color w:val="auto"/>
          <w:szCs w:val="21"/>
        </w:rPr>
      </w:pPr>
      <w:r>
        <w:rPr>
          <w:rFonts w:hint="eastAsia" w:ascii="仿宋" w:hAnsi="仿宋" w:eastAsia="仿宋" w:cs="宋体"/>
          <w:color w:val="auto"/>
          <w:kern w:val="0"/>
          <w:szCs w:val="21"/>
        </w:rPr>
        <w:br w:type="page"/>
      </w:r>
    </w:p>
    <w:p w14:paraId="5AE501A4">
      <w:pPr>
        <w:numPr>
          <w:ilvl w:val="4"/>
          <w:numId w:val="31"/>
        </w:numPr>
        <w:tabs>
          <w:tab w:val="left" w:pos="540"/>
        </w:tabs>
        <w:autoSpaceDE w:val="0"/>
        <w:autoSpaceDN w:val="0"/>
        <w:adjustRightInd w:val="0"/>
        <w:ind w:left="540" w:hanging="540"/>
        <w:outlineLvl w:val="1"/>
        <w:rPr>
          <w:rFonts w:ascii="仿宋" w:hAnsi="仿宋" w:eastAsia="仿宋" w:cs="宋体"/>
          <w:b/>
          <w:bCs/>
          <w:color w:val="auto"/>
          <w:szCs w:val="21"/>
        </w:rPr>
      </w:pPr>
      <w:bookmarkStart w:id="244" w:name="_Toc22882"/>
      <w:r>
        <w:rPr>
          <w:rFonts w:hint="eastAsia" w:ascii="仿宋" w:hAnsi="仿宋" w:eastAsia="仿宋" w:cs="宋体"/>
          <w:b/>
          <w:bCs/>
          <w:color w:val="auto"/>
          <w:sz w:val="24"/>
        </w:rPr>
        <w:t>报价一览表</w:t>
      </w:r>
      <w:bookmarkEnd w:id="242"/>
      <w:bookmarkEnd w:id="243"/>
      <w:bookmarkEnd w:id="244"/>
    </w:p>
    <w:p w14:paraId="57684986">
      <w:pPr>
        <w:adjustRightInd w:val="0"/>
        <w:snapToGrid w:val="0"/>
        <w:spacing w:line="360" w:lineRule="auto"/>
        <w:rPr>
          <w:rFonts w:ascii="仿宋" w:hAnsi="仿宋" w:eastAsia="仿宋" w:cs="宋体"/>
          <w:color w:val="auto"/>
          <w:szCs w:val="21"/>
        </w:rPr>
      </w:pPr>
    </w:p>
    <w:p w14:paraId="7DB86FFD">
      <w:pPr>
        <w:adjustRightInd w:val="0"/>
        <w:snapToGrid w:val="0"/>
        <w:spacing w:line="360" w:lineRule="auto"/>
        <w:rPr>
          <w:rFonts w:ascii="仿宋" w:hAnsi="仿宋" w:eastAsia="仿宋" w:cs="宋体"/>
          <w:color w:val="auto"/>
          <w:szCs w:val="21"/>
          <w:u w:val="single"/>
        </w:rPr>
      </w:pPr>
      <w:r>
        <w:rPr>
          <w:rFonts w:hint="eastAsia" w:ascii="仿宋" w:hAnsi="仿宋" w:eastAsia="仿宋" w:cs="宋体"/>
          <w:color w:val="auto"/>
          <w:szCs w:val="21"/>
        </w:rPr>
        <w:t>项目名称：</w:t>
      </w:r>
    </w:p>
    <w:p w14:paraId="5AE7E382">
      <w:pPr>
        <w:spacing w:line="360" w:lineRule="auto"/>
        <w:rPr>
          <w:rFonts w:hint="eastAsia" w:ascii="仿宋" w:hAnsi="仿宋" w:eastAsia="仿宋" w:cs="宋体"/>
          <w:color w:val="auto"/>
          <w:szCs w:val="21"/>
        </w:rPr>
      </w:pPr>
      <w:r>
        <w:rPr>
          <w:rFonts w:hint="eastAsia" w:ascii="仿宋" w:hAnsi="仿宋" w:eastAsia="仿宋" w:cs="宋体"/>
          <w:color w:val="auto"/>
          <w:szCs w:val="21"/>
        </w:rPr>
        <w:t>项目编号：</w:t>
      </w:r>
    </w:p>
    <w:tbl>
      <w:tblPr>
        <w:tblStyle w:val="20"/>
        <w:tblW w:w="8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3271"/>
        <w:gridCol w:w="5423"/>
      </w:tblGrid>
      <w:tr w14:paraId="458C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4" w:hRule="atLeast"/>
          <w:jc w:val="center"/>
        </w:trPr>
        <w:tc>
          <w:tcPr>
            <w:tcW w:w="3271" w:type="dxa"/>
            <w:vAlign w:val="center"/>
          </w:tcPr>
          <w:p w14:paraId="183AE496">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lang w:eastAsia="zh-CN"/>
              </w:rPr>
              <w:t>供应商</w:t>
            </w:r>
            <w:r>
              <w:rPr>
                <w:rFonts w:hint="eastAsia" w:ascii="仿宋" w:hAnsi="仿宋" w:eastAsia="仿宋" w:cs="宋体"/>
                <w:color w:val="auto"/>
                <w:szCs w:val="21"/>
              </w:rPr>
              <w:t>名称</w:t>
            </w:r>
          </w:p>
        </w:tc>
        <w:tc>
          <w:tcPr>
            <w:tcW w:w="5423" w:type="dxa"/>
            <w:vAlign w:val="center"/>
          </w:tcPr>
          <w:p w14:paraId="29E80583">
            <w:pPr>
              <w:spacing w:line="240" w:lineRule="auto"/>
              <w:jc w:val="center"/>
              <w:rPr>
                <w:rFonts w:hint="eastAsia" w:ascii="仿宋" w:hAnsi="仿宋" w:eastAsia="仿宋" w:cs="宋体"/>
                <w:color w:val="auto"/>
                <w:szCs w:val="21"/>
              </w:rPr>
            </w:pPr>
          </w:p>
        </w:tc>
      </w:tr>
      <w:tr w14:paraId="186F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4" w:hRule="atLeast"/>
          <w:jc w:val="center"/>
        </w:trPr>
        <w:tc>
          <w:tcPr>
            <w:tcW w:w="3271" w:type="dxa"/>
            <w:vAlign w:val="center"/>
          </w:tcPr>
          <w:p w14:paraId="513E276E">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rPr>
              <w:t>所投货物∕服务名称</w:t>
            </w:r>
          </w:p>
          <w:p w14:paraId="39F03AEA">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rPr>
              <w:t>（所投货物如为医疗器械，此处名称应与医疗器械产品注册证一致）</w:t>
            </w:r>
          </w:p>
        </w:tc>
        <w:tc>
          <w:tcPr>
            <w:tcW w:w="5423" w:type="dxa"/>
            <w:vAlign w:val="center"/>
          </w:tcPr>
          <w:p w14:paraId="1CF410B9">
            <w:pPr>
              <w:spacing w:line="240" w:lineRule="auto"/>
              <w:jc w:val="center"/>
              <w:rPr>
                <w:rFonts w:hint="eastAsia" w:ascii="仿宋" w:hAnsi="仿宋" w:eastAsia="仿宋" w:cs="宋体"/>
                <w:color w:val="auto"/>
                <w:szCs w:val="21"/>
              </w:rPr>
            </w:pPr>
          </w:p>
        </w:tc>
      </w:tr>
      <w:tr w14:paraId="2B58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4" w:hRule="atLeast"/>
          <w:jc w:val="center"/>
        </w:trPr>
        <w:tc>
          <w:tcPr>
            <w:tcW w:w="3271" w:type="dxa"/>
            <w:vAlign w:val="center"/>
          </w:tcPr>
          <w:p w14:paraId="4DA702F1">
            <w:pPr>
              <w:spacing w:line="240" w:lineRule="auto"/>
              <w:jc w:val="center"/>
              <w:rPr>
                <w:rFonts w:hint="eastAsia" w:ascii="仿宋" w:hAnsi="仿宋" w:eastAsia="仿宋" w:cs="宋体"/>
                <w:color w:val="auto"/>
                <w:szCs w:val="21"/>
                <w:lang w:eastAsia="zh-CN"/>
              </w:rPr>
            </w:pPr>
            <w:r>
              <w:rPr>
                <w:rFonts w:hint="eastAsia" w:ascii="仿宋" w:hAnsi="仿宋" w:eastAsia="仿宋" w:cs="宋体"/>
                <w:color w:val="auto"/>
                <w:szCs w:val="21"/>
              </w:rPr>
              <w:t>投标报价</w:t>
            </w:r>
          </w:p>
        </w:tc>
        <w:tc>
          <w:tcPr>
            <w:tcW w:w="5423" w:type="dxa"/>
            <w:vAlign w:val="center"/>
          </w:tcPr>
          <w:p w14:paraId="5C1798FD">
            <w:pPr>
              <w:spacing w:line="240" w:lineRule="auto"/>
              <w:jc w:val="center"/>
              <w:rPr>
                <w:rFonts w:hint="eastAsia" w:ascii="仿宋" w:hAnsi="仿宋" w:eastAsia="仿宋" w:cs="宋体"/>
                <w:color w:val="auto"/>
                <w:szCs w:val="21"/>
              </w:rPr>
            </w:pPr>
          </w:p>
        </w:tc>
      </w:tr>
      <w:tr w14:paraId="7BBF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4" w:hRule="atLeast"/>
          <w:jc w:val="center"/>
        </w:trPr>
        <w:tc>
          <w:tcPr>
            <w:tcW w:w="3271" w:type="dxa"/>
            <w:vAlign w:val="center"/>
          </w:tcPr>
          <w:p w14:paraId="6D41487B">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rPr>
              <w:t>交货期</w:t>
            </w:r>
          </w:p>
        </w:tc>
        <w:tc>
          <w:tcPr>
            <w:tcW w:w="5423" w:type="dxa"/>
            <w:vAlign w:val="center"/>
          </w:tcPr>
          <w:p w14:paraId="50819C9F">
            <w:pPr>
              <w:spacing w:line="240" w:lineRule="auto"/>
              <w:jc w:val="center"/>
              <w:rPr>
                <w:rFonts w:hint="eastAsia" w:ascii="仿宋" w:hAnsi="仿宋" w:eastAsia="仿宋" w:cs="宋体"/>
                <w:color w:val="auto"/>
                <w:szCs w:val="21"/>
              </w:rPr>
            </w:pPr>
          </w:p>
        </w:tc>
      </w:tr>
      <w:tr w14:paraId="094A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4" w:hRule="atLeast"/>
          <w:jc w:val="center"/>
        </w:trPr>
        <w:tc>
          <w:tcPr>
            <w:tcW w:w="3271" w:type="dxa"/>
            <w:vAlign w:val="center"/>
          </w:tcPr>
          <w:p w14:paraId="6F3A1005">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rPr>
              <w:t>质保期</w:t>
            </w:r>
          </w:p>
        </w:tc>
        <w:tc>
          <w:tcPr>
            <w:tcW w:w="5423" w:type="dxa"/>
            <w:vAlign w:val="center"/>
          </w:tcPr>
          <w:p w14:paraId="6D5C5228">
            <w:pPr>
              <w:spacing w:line="240" w:lineRule="auto"/>
              <w:jc w:val="center"/>
              <w:rPr>
                <w:rFonts w:hint="eastAsia" w:ascii="仿宋" w:hAnsi="仿宋" w:eastAsia="仿宋" w:cs="宋体"/>
                <w:color w:val="auto"/>
                <w:szCs w:val="21"/>
              </w:rPr>
            </w:pPr>
          </w:p>
        </w:tc>
      </w:tr>
      <w:tr w14:paraId="5842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4" w:hRule="atLeast"/>
          <w:jc w:val="center"/>
        </w:trPr>
        <w:tc>
          <w:tcPr>
            <w:tcW w:w="3271" w:type="dxa"/>
            <w:vAlign w:val="center"/>
          </w:tcPr>
          <w:p w14:paraId="075ED1D7">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rPr>
              <w:t>合同履行期限</w:t>
            </w:r>
          </w:p>
        </w:tc>
        <w:tc>
          <w:tcPr>
            <w:tcW w:w="5423" w:type="dxa"/>
            <w:vAlign w:val="center"/>
          </w:tcPr>
          <w:p w14:paraId="595994E3">
            <w:pPr>
              <w:spacing w:line="240" w:lineRule="auto"/>
              <w:jc w:val="center"/>
              <w:rPr>
                <w:rFonts w:hint="eastAsia" w:ascii="仿宋" w:hAnsi="仿宋" w:eastAsia="仿宋" w:cs="宋体"/>
                <w:color w:val="auto"/>
                <w:szCs w:val="21"/>
              </w:rPr>
            </w:pPr>
          </w:p>
        </w:tc>
      </w:tr>
      <w:tr w14:paraId="18CF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4" w:hRule="atLeast"/>
          <w:jc w:val="center"/>
        </w:trPr>
        <w:tc>
          <w:tcPr>
            <w:tcW w:w="3271" w:type="dxa"/>
            <w:vAlign w:val="center"/>
          </w:tcPr>
          <w:p w14:paraId="12D33316">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rPr>
              <w:t>优惠声明（如有）</w:t>
            </w:r>
          </w:p>
        </w:tc>
        <w:tc>
          <w:tcPr>
            <w:tcW w:w="5423" w:type="dxa"/>
            <w:vAlign w:val="center"/>
          </w:tcPr>
          <w:p w14:paraId="79BEEB68">
            <w:pPr>
              <w:spacing w:line="240" w:lineRule="auto"/>
              <w:jc w:val="center"/>
              <w:rPr>
                <w:rFonts w:hint="eastAsia" w:ascii="仿宋" w:hAnsi="仿宋" w:eastAsia="仿宋" w:cs="宋体"/>
                <w:color w:val="auto"/>
                <w:szCs w:val="21"/>
              </w:rPr>
            </w:pPr>
          </w:p>
        </w:tc>
      </w:tr>
      <w:tr w14:paraId="1131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5" w:hRule="atLeast"/>
          <w:jc w:val="center"/>
        </w:trPr>
        <w:tc>
          <w:tcPr>
            <w:tcW w:w="3271" w:type="dxa"/>
            <w:vAlign w:val="center"/>
          </w:tcPr>
          <w:p w14:paraId="000B1736">
            <w:pPr>
              <w:spacing w:line="240" w:lineRule="auto"/>
              <w:jc w:val="center"/>
              <w:rPr>
                <w:rFonts w:hint="eastAsia" w:ascii="仿宋" w:hAnsi="仿宋" w:eastAsia="仿宋" w:cs="宋体"/>
                <w:color w:val="auto"/>
                <w:szCs w:val="21"/>
              </w:rPr>
            </w:pPr>
            <w:r>
              <w:rPr>
                <w:rFonts w:hint="eastAsia" w:ascii="仿宋" w:hAnsi="仿宋" w:eastAsia="仿宋" w:cs="宋体"/>
                <w:color w:val="auto"/>
                <w:szCs w:val="21"/>
              </w:rPr>
              <w:t>备注</w:t>
            </w:r>
          </w:p>
        </w:tc>
        <w:tc>
          <w:tcPr>
            <w:tcW w:w="5423" w:type="dxa"/>
            <w:vAlign w:val="center"/>
          </w:tcPr>
          <w:p w14:paraId="025FED1F">
            <w:pPr>
              <w:spacing w:line="240" w:lineRule="auto"/>
              <w:jc w:val="center"/>
              <w:rPr>
                <w:rFonts w:hint="eastAsia" w:ascii="仿宋" w:hAnsi="仿宋" w:eastAsia="仿宋" w:cs="宋体"/>
                <w:color w:val="auto"/>
                <w:szCs w:val="21"/>
              </w:rPr>
            </w:pPr>
          </w:p>
        </w:tc>
      </w:tr>
    </w:tbl>
    <w:p w14:paraId="59EE1230">
      <w:pPr>
        <w:spacing w:line="360" w:lineRule="auto"/>
        <w:rPr>
          <w:rFonts w:hint="eastAsia" w:ascii="仿宋" w:hAnsi="仿宋" w:eastAsia="仿宋" w:cs="宋体"/>
          <w:color w:val="auto"/>
          <w:szCs w:val="21"/>
        </w:rPr>
      </w:pPr>
    </w:p>
    <w:p w14:paraId="0AC51365">
      <w:pPr>
        <w:spacing w:line="360" w:lineRule="auto"/>
        <w:rPr>
          <w:rFonts w:ascii="仿宋" w:hAnsi="仿宋" w:eastAsia="仿宋" w:cs="宋体"/>
          <w:color w:val="auto"/>
        </w:rPr>
      </w:pPr>
      <w:r>
        <w:rPr>
          <w:rFonts w:hint="eastAsia" w:ascii="仿宋" w:hAnsi="仿宋" w:eastAsia="仿宋" w:cs="宋体"/>
          <w:color w:val="auto"/>
          <w:szCs w:val="21"/>
        </w:rPr>
        <w:t>说明</w:t>
      </w:r>
      <w:r>
        <w:rPr>
          <w:rFonts w:hint="eastAsia" w:ascii="仿宋" w:hAnsi="仿宋" w:eastAsia="仿宋" w:cs="宋体"/>
          <w:bCs/>
          <w:color w:val="auto"/>
          <w:szCs w:val="21"/>
        </w:rPr>
        <w:t>：</w:t>
      </w:r>
      <w:r>
        <w:rPr>
          <w:rFonts w:hint="eastAsia" w:ascii="仿宋" w:hAnsi="仿宋" w:eastAsia="仿宋" w:cs="宋体"/>
          <w:color w:val="auto"/>
          <w:szCs w:val="21"/>
        </w:rPr>
        <w:t>（1）</w:t>
      </w:r>
      <w:r>
        <w:rPr>
          <w:rFonts w:hint="eastAsia" w:ascii="仿宋" w:hAnsi="仿宋" w:eastAsia="仿宋" w:cs="宋体"/>
          <w:color w:val="auto"/>
        </w:rPr>
        <w:t>人民币报价，单位为元。</w:t>
      </w:r>
    </w:p>
    <w:p w14:paraId="3B659E71">
      <w:pPr>
        <w:spacing w:line="360" w:lineRule="auto"/>
        <w:ind w:firstLine="525" w:firstLineChars="250"/>
        <w:rPr>
          <w:rFonts w:ascii="仿宋" w:hAnsi="仿宋" w:eastAsia="仿宋" w:cs="宋体"/>
          <w:color w:val="auto"/>
          <w:szCs w:val="21"/>
        </w:rPr>
      </w:pPr>
      <w:r>
        <w:rPr>
          <w:rFonts w:hint="eastAsia" w:ascii="仿宋" w:hAnsi="仿宋" w:eastAsia="仿宋" w:cs="宋体"/>
          <w:color w:val="auto"/>
          <w:szCs w:val="21"/>
        </w:rPr>
        <w:t>（2）价格应按照“供应商须知” 的要求报价。</w:t>
      </w:r>
    </w:p>
    <w:p w14:paraId="57F4478B">
      <w:pPr>
        <w:spacing w:line="360" w:lineRule="auto"/>
        <w:ind w:firstLine="527" w:firstLineChars="250"/>
        <w:rPr>
          <w:rFonts w:ascii="仿宋" w:hAnsi="仿宋" w:eastAsia="仿宋" w:cs="宋体"/>
          <w:b/>
          <w:color w:val="auto"/>
          <w:szCs w:val="21"/>
        </w:rPr>
      </w:pPr>
      <w:r>
        <w:rPr>
          <w:rFonts w:hint="eastAsia" w:ascii="仿宋" w:hAnsi="仿宋" w:eastAsia="仿宋" w:cs="宋体"/>
          <w:b/>
          <w:color w:val="auto"/>
          <w:szCs w:val="21"/>
        </w:rPr>
        <w:t>（</w:t>
      </w:r>
      <w:r>
        <w:rPr>
          <w:rFonts w:ascii="仿宋" w:hAnsi="仿宋" w:eastAsia="仿宋" w:cs="宋体"/>
          <w:b/>
          <w:color w:val="auto"/>
          <w:szCs w:val="21"/>
        </w:rPr>
        <w:t>3</w:t>
      </w:r>
      <w:r>
        <w:rPr>
          <w:rFonts w:hint="eastAsia" w:ascii="仿宋" w:hAnsi="仿宋" w:eastAsia="仿宋" w:cs="宋体"/>
          <w:b/>
          <w:color w:val="auto"/>
          <w:szCs w:val="21"/>
        </w:rPr>
        <w:t>）此表除保留在竞争性磋商响应文件中外，另复制一份与磋商书（原件）、法定代表人授权书（原件）及报价优惠声明一起另外密封装在一个小信封中，作为记录之用。</w:t>
      </w:r>
    </w:p>
    <w:p w14:paraId="3C260CED">
      <w:pPr>
        <w:adjustRightInd w:val="0"/>
        <w:snapToGrid w:val="0"/>
        <w:spacing w:line="360" w:lineRule="auto"/>
        <w:ind w:left="-88" w:leftChars="-42"/>
        <w:rPr>
          <w:rFonts w:ascii="仿宋" w:hAnsi="仿宋" w:eastAsia="仿宋" w:cs="宋体"/>
          <w:color w:val="auto"/>
          <w:szCs w:val="21"/>
        </w:rPr>
      </w:pPr>
    </w:p>
    <w:p w14:paraId="29CE8A8D">
      <w:pPr>
        <w:spacing w:line="360" w:lineRule="auto"/>
        <w:rPr>
          <w:rFonts w:ascii="仿宋" w:hAnsi="仿宋" w:eastAsia="仿宋" w:cs="宋体"/>
          <w:color w:val="auto"/>
          <w:szCs w:val="21"/>
        </w:rPr>
      </w:pPr>
      <w:r>
        <w:rPr>
          <w:rFonts w:hint="eastAsia" w:ascii="仿宋" w:hAnsi="仿宋" w:eastAsia="仿宋" w:cs="宋体"/>
          <w:color w:val="auto"/>
          <w:szCs w:val="21"/>
        </w:rPr>
        <w:t>磋商供应商法定代表人或授权代表签字：</w:t>
      </w:r>
    </w:p>
    <w:p w14:paraId="1ABA67E8">
      <w:pPr>
        <w:spacing w:line="360" w:lineRule="auto"/>
        <w:rPr>
          <w:rFonts w:ascii="仿宋" w:hAnsi="仿宋" w:eastAsia="仿宋" w:cs="宋体"/>
          <w:color w:val="auto"/>
          <w:szCs w:val="21"/>
        </w:rPr>
      </w:pPr>
      <w:r>
        <w:rPr>
          <w:rFonts w:hint="eastAsia" w:ascii="仿宋" w:hAnsi="仿宋" w:eastAsia="仿宋" w:cs="宋体"/>
          <w:color w:val="auto"/>
          <w:szCs w:val="21"/>
        </w:rPr>
        <w:t>磋商供应商名称（签章）：</w:t>
      </w:r>
    </w:p>
    <w:p w14:paraId="52626288">
      <w:pPr>
        <w:spacing w:line="360" w:lineRule="auto"/>
        <w:rPr>
          <w:rFonts w:ascii="仿宋" w:hAnsi="仿宋" w:eastAsia="仿宋" w:cs="宋体"/>
          <w:color w:val="auto"/>
          <w:szCs w:val="21"/>
        </w:rPr>
      </w:pPr>
      <w:r>
        <w:rPr>
          <w:rFonts w:hint="eastAsia" w:ascii="仿宋" w:hAnsi="仿宋" w:eastAsia="仿宋" w:cs="宋体"/>
          <w:color w:val="auto"/>
          <w:szCs w:val="21"/>
        </w:rPr>
        <w:t>时间：年月日</w:t>
      </w:r>
    </w:p>
    <w:p w14:paraId="6B86147C">
      <w:pPr>
        <w:widowControl/>
        <w:jc w:val="left"/>
        <w:rPr>
          <w:rFonts w:ascii="仿宋" w:hAnsi="仿宋" w:eastAsia="仿宋" w:cs="宋体"/>
          <w:color w:val="auto"/>
          <w:szCs w:val="21"/>
          <w:u w:val="single"/>
        </w:rPr>
      </w:pPr>
      <w:r>
        <w:rPr>
          <w:rFonts w:ascii="仿宋" w:hAnsi="仿宋" w:eastAsia="仿宋" w:cs="宋体"/>
          <w:color w:val="auto"/>
          <w:szCs w:val="21"/>
          <w:u w:val="single"/>
        </w:rPr>
        <w:br w:type="page"/>
      </w:r>
    </w:p>
    <w:p w14:paraId="6F9566F2">
      <w:pPr>
        <w:spacing w:line="360" w:lineRule="auto"/>
        <w:rPr>
          <w:rFonts w:ascii="仿宋" w:hAnsi="仿宋" w:eastAsia="仿宋" w:cs="宋体"/>
          <w:color w:val="auto"/>
          <w:szCs w:val="21"/>
          <w:u w:val="single"/>
        </w:rPr>
      </w:pPr>
    </w:p>
    <w:p w14:paraId="41E06267">
      <w:pPr>
        <w:numPr>
          <w:ilvl w:val="4"/>
          <w:numId w:val="31"/>
        </w:numPr>
        <w:tabs>
          <w:tab w:val="left" w:pos="540"/>
        </w:tabs>
        <w:autoSpaceDE w:val="0"/>
        <w:autoSpaceDN w:val="0"/>
        <w:adjustRightInd w:val="0"/>
        <w:ind w:left="540" w:hanging="540"/>
        <w:outlineLvl w:val="1"/>
        <w:rPr>
          <w:rFonts w:ascii="仿宋" w:hAnsi="仿宋" w:eastAsia="仿宋" w:cs="宋体"/>
          <w:b/>
          <w:bCs/>
          <w:color w:val="auto"/>
          <w:szCs w:val="21"/>
        </w:rPr>
      </w:pPr>
      <w:bookmarkStart w:id="245" w:name="_Toc149035957"/>
      <w:bookmarkStart w:id="246" w:name="_Toc26557"/>
      <w:bookmarkStart w:id="247" w:name="_Toc22389"/>
      <w:r>
        <w:rPr>
          <w:rFonts w:hint="eastAsia" w:ascii="仿宋" w:hAnsi="仿宋" w:eastAsia="仿宋" w:cs="宋体"/>
          <w:b/>
          <w:bCs/>
          <w:color w:val="auto"/>
          <w:sz w:val="24"/>
        </w:rPr>
        <w:t>法定代表人授权书</w:t>
      </w:r>
      <w:bookmarkEnd w:id="245"/>
      <w:bookmarkEnd w:id="246"/>
      <w:bookmarkEnd w:id="247"/>
    </w:p>
    <w:p w14:paraId="520707E5">
      <w:pPr>
        <w:rPr>
          <w:rFonts w:ascii="仿宋" w:hAnsi="仿宋" w:eastAsia="仿宋" w:cs="宋体"/>
          <w:color w:val="auto"/>
          <w:kern w:val="0"/>
          <w:szCs w:val="21"/>
        </w:rPr>
      </w:pPr>
    </w:p>
    <w:p w14:paraId="3590828F">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兹授权同志为我公司参加贵单位组织的</w:t>
      </w:r>
      <w:r>
        <w:rPr>
          <w:rFonts w:hint="eastAsia" w:ascii="仿宋" w:hAnsi="仿宋" w:eastAsia="仿宋" w:cs="宋体"/>
          <w:color w:val="auto"/>
          <w:kern w:val="0"/>
          <w:szCs w:val="21"/>
          <w:u w:val="single"/>
        </w:rPr>
        <w:t>（项目名称）</w:t>
      </w:r>
      <w:r>
        <w:rPr>
          <w:rFonts w:hint="eastAsia" w:ascii="仿宋" w:hAnsi="仿宋" w:eastAsia="仿宋" w:cs="宋体"/>
          <w:color w:val="auto"/>
          <w:kern w:val="0"/>
          <w:szCs w:val="21"/>
        </w:rPr>
        <w:t>采购活动的供应商代表人，全权代表我公司处理在该项目采购活动中的一切事宜。代理期限从年 月日起至年 月日止。</w:t>
      </w:r>
    </w:p>
    <w:p w14:paraId="1E498ACB">
      <w:pPr>
        <w:autoSpaceDE w:val="0"/>
        <w:autoSpaceDN w:val="0"/>
        <w:adjustRightInd w:val="0"/>
        <w:spacing w:line="360" w:lineRule="auto"/>
        <w:ind w:firstLine="697"/>
        <w:jc w:val="left"/>
        <w:rPr>
          <w:rFonts w:ascii="仿宋" w:hAnsi="仿宋" w:eastAsia="仿宋" w:cs="宋体"/>
          <w:color w:val="auto"/>
          <w:kern w:val="0"/>
          <w:szCs w:val="21"/>
        </w:rPr>
      </w:pPr>
    </w:p>
    <w:p w14:paraId="61BCC946">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授权单位（签章）：</w:t>
      </w:r>
    </w:p>
    <w:p w14:paraId="252CAD19">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法定代表人（签字或盖章）：</w:t>
      </w:r>
    </w:p>
    <w:p w14:paraId="3424553B">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签发日期：年 月日</w:t>
      </w:r>
    </w:p>
    <w:p w14:paraId="21492CF3">
      <w:pPr>
        <w:autoSpaceDE w:val="0"/>
        <w:autoSpaceDN w:val="0"/>
        <w:adjustRightInd w:val="0"/>
        <w:spacing w:line="360" w:lineRule="auto"/>
        <w:ind w:firstLine="697"/>
        <w:jc w:val="left"/>
        <w:rPr>
          <w:rFonts w:ascii="仿宋" w:hAnsi="仿宋" w:eastAsia="仿宋" w:cs="宋体"/>
          <w:color w:val="auto"/>
          <w:kern w:val="0"/>
          <w:szCs w:val="21"/>
        </w:rPr>
      </w:pPr>
    </w:p>
    <w:p w14:paraId="227A8430">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附：</w:t>
      </w:r>
    </w:p>
    <w:p w14:paraId="5E638DBF">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代理人工作单位：</w:t>
      </w:r>
    </w:p>
    <w:p w14:paraId="3B4EBC3A">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职务：性别：</w:t>
      </w:r>
    </w:p>
    <w:p w14:paraId="27017863">
      <w:pPr>
        <w:autoSpaceDE w:val="0"/>
        <w:autoSpaceDN w:val="0"/>
        <w:adjustRightInd w:val="0"/>
        <w:spacing w:line="360" w:lineRule="auto"/>
        <w:ind w:firstLine="697"/>
        <w:jc w:val="left"/>
        <w:rPr>
          <w:rFonts w:ascii="仿宋" w:hAnsi="仿宋" w:eastAsia="仿宋" w:cs="宋体"/>
          <w:color w:val="auto"/>
          <w:kern w:val="0"/>
          <w:szCs w:val="21"/>
        </w:rPr>
      </w:pPr>
      <w:r>
        <w:rPr>
          <w:rFonts w:hint="eastAsia" w:ascii="仿宋" w:hAnsi="仿宋" w:eastAsia="仿宋" w:cs="宋体"/>
          <w:color w:val="auto"/>
          <w:kern w:val="0"/>
          <w:szCs w:val="21"/>
        </w:rPr>
        <w:t>身份证号码：</w:t>
      </w: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14:paraId="3955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4" w:hRule="atLeast"/>
          <w:jc w:val="center"/>
        </w:trPr>
        <w:tc>
          <w:tcPr>
            <w:tcW w:w="9071" w:type="dxa"/>
          </w:tcPr>
          <w:p w14:paraId="4B897BA4">
            <w:pPr>
              <w:autoSpaceDE w:val="0"/>
              <w:autoSpaceDN w:val="0"/>
              <w:adjustRightInd w:val="0"/>
              <w:spacing w:line="360" w:lineRule="auto"/>
              <w:jc w:val="left"/>
              <w:rPr>
                <w:rFonts w:ascii="仿宋" w:hAnsi="仿宋" w:eastAsia="仿宋" w:cs="宋体"/>
                <w:color w:val="auto"/>
                <w:kern w:val="0"/>
                <w:szCs w:val="21"/>
              </w:rPr>
            </w:pPr>
          </w:p>
          <w:p w14:paraId="1937318E">
            <w:pPr>
              <w:autoSpaceDE w:val="0"/>
              <w:autoSpaceDN w:val="0"/>
              <w:adjustRightInd w:val="0"/>
              <w:spacing w:line="360" w:lineRule="auto"/>
              <w:jc w:val="left"/>
              <w:rPr>
                <w:rFonts w:ascii="仿宋" w:hAnsi="仿宋" w:eastAsia="仿宋" w:cs="宋体"/>
                <w:color w:val="auto"/>
                <w:kern w:val="0"/>
                <w:szCs w:val="21"/>
              </w:rPr>
            </w:pPr>
            <w:r>
              <w:rPr>
                <w:rFonts w:hint="eastAsia" w:ascii="仿宋" w:hAnsi="仿宋" w:eastAsia="仿宋" w:cs="宋体"/>
                <w:color w:val="auto"/>
                <w:kern w:val="0"/>
                <w:szCs w:val="21"/>
              </w:rPr>
              <w:t>粘贴被授权人身份证（复印件）：</w:t>
            </w:r>
          </w:p>
        </w:tc>
      </w:tr>
    </w:tbl>
    <w:p w14:paraId="312100F6">
      <w:pPr>
        <w:autoSpaceDE w:val="0"/>
        <w:autoSpaceDN w:val="0"/>
        <w:adjustRightInd w:val="0"/>
        <w:spacing w:line="360" w:lineRule="auto"/>
        <w:jc w:val="left"/>
        <w:rPr>
          <w:rFonts w:ascii="仿宋" w:hAnsi="仿宋" w:eastAsia="仿宋" w:cs="宋体"/>
          <w:color w:val="auto"/>
          <w:kern w:val="0"/>
          <w:szCs w:val="21"/>
        </w:rPr>
      </w:pPr>
    </w:p>
    <w:p w14:paraId="746229DB">
      <w:pPr>
        <w:numPr>
          <w:ilvl w:val="4"/>
          <w:numId w:val="31"/>
        </w:numPr>
        <w:tabs>
          <w:tab w:val="left" w:pos="540"/>
        </w:tabs>
        <w:autoSpaceDE w:val="0"/>
        <w:autoSpaceDN w:val="0"/>
        <w:adjustRightInd w:val="0"/>
        <w:ind w:left="540" w:hanging="540"/>
        <w:outlineLvl w:val="1"/>
        <w:rPr>
          <w:rFonts w:ascii="仿宋" w:hAnsi="仿宋" w:eastAsia="仿宋" w:cs="宋体"/>
          <w:b/>
          <w:bCs/>
          <w:color w:val="auto"/>
          <w:szCs w:val="21"/>
        </w:rPr>
      </w:pPr>
      <w:r>
        <w:rPr>
          <w:rFonts w:hint="eastAsia" w:ascii="仿宋" w:hAnsi="仿宋" w:eastAsia="仿宋" w:cs="宋体"/>
          <w:color w:val="auto"/>
          <w:kern w:val="0"/>
          <w:szCs w:val="21"/>
        </w:rPr>
        <w:br w:type="page"/>
      </w:r>
      <w:bookmarkStart w:id="248" w:name="_Toc360120184"/>
      <w:bookmarkStart w:id="249" w:name="_Toc149035958"/>
      <w:bookmarkStart w:id="250" w:name="_Toc10521"/>
      <w:bookmarkStart w:id="251" w:name="_Toc432149008"/>
      <w:bookmarkStart w:id="252" w:name="_Toc424832832"/>
      <w:bookmarkStart w:id="253" w:name="_Toc14527"/>
      <w:r>
        <w:rPr>
          <w:rFonts w:hint="eastAsia" w:ascii="仿宋" w:hAnsi="仿宋" w:eastAsia="仿宋" w:cs="宋体"/>
          <w:b/>
          <w:bCs/>
          <w:color w:val="auto"/>
          <w:sz w:val="24"/>
        </w:rPr>
        <w:t>法定代表人身份证明书</w:t>
      </w:r>
      <w:bookmarkEnd w:id="248"/>
      <w:bookmarkEnd w:id="249"/>
      <w:bookmarkEnd w:id="250"/>
      <w:bookmarkEnd w:id="251"/>
      <w:bookmarkEnd w:id="252"/>
      <w:bookmarkEnd w:id="253"/>
    </w:p>
    <w:p w14:paraId="27D50E69">
      <w:pPr>
        <w:spacing w:line="360" w:lineRule="auto"/>
        <w:rPr>
          <w:rFonts w:ascii="仿宋" w:hAnsi="仿宋" w:eastAsia="仿宋" w:cs="宋体"/>
          <w:color w:val="auto"/>
          <w:kern w:val="0"/>
          <w:szCs w:val="21"/>
        </w:rPr>
      </w:pPr>
    </w:p>
    <w:p w14:paraId="4E745BB3">
      <w:pPr>
        <w:spacing w:line="360" w:lineRule="auto"/>
        <w:ind w:firstLine="630" w:firstLineChars="300"/>
        <w:rPr>
          <w:rFonts w:ascii="仿宋" w:hAnsi="仿宋" w:eastAsia="仿宋" w:cs="宋体"/>
          <w:color w:val="auto"/>
          <w:kern w:val="0"/>
          <w:szCs w:val="21"/>
        </w:rPr>
      </w:pPr>
      <w:r>
        <w:rPr>
          <w:rFonts w:hint="eastAsia" w:ascii="仿宋" w:hAnsi="仿宋" w:eastAsia="仿宋" w:cs="宋体"/>
          <w:color w:val="auto"/>
          <w:kern w:val="0"/>
          <w:szCs w:val="21"/>
        </w:rPr>
        <w:t>兹证明（姓名）</w:t>
      </w:r>
      <w:r>
        <w:rPr>
          <w:rFonts w:hint="eastAsia" w:ascii="仿宋" w:hAnsi="仿宋" w:eastAsia="仿宋" w:cs="宋体"/>
          <w:color w:val="auto"/>
          <w:szCs w:val="21"/>
        </w:rPr>
        <w:t>在我单位任职务</w:t>
      </w:r>
      <w:r>
        <w:rPr>
          <w:rFonts w:hint="eastAsia" w:ascii="仿宋" w:hAnsi="仿宋" w:eastAsia="仿宋" w:cs="宋体"/>
          <w:color w:val="auto"/>
          <w:kern w:val="0"/>
          <w:szCs w:val="21"/>
        </w:rPr>
        <w:t>，系（供应商）的法定代表人。</w:t>
      </w:r>
    </w:p>
    <w:p w14:paraId="66F75FE0">
      <w:pPr>
        <w:spacing w:line="360" w:lineRule="auto"/>
        <w:ind w:firstLine="630" w:firstLineChars="300"/>
        <w:rPr>
          <w:rFonts w:ascii="仿宋" w:hAnsi="仿宋" w:eastAsia="仿宋" w:cs="宋体"/>
          <w:color w:val="auto"/>
          <w:kern w:val="0"/>
          <w:szCs w:val="21"/>
        </w:rPr>
      </w:pPr>
    </w:p>
    <w:p w14:paraId="44EF7442">
      <w:pPr>
        <w:spacing w:line="360" w:lineRule="auto"/>
        <w:ind w:firstLine="630" w:firstLineChars="300"/>
        <w:rPr>
          <w:rFonts w:ascii="仿宋" w:hAnsi="仿宋" w:eastAsia="仿宋" w:cs="宋体"/>
          <w:color w:val="auto"/>
          <w:kern w:val="0"/>
          <w:szCs w:val="21"/>
        </w:rPr>
      </w:pPr>
      <w:r>
        <w:rPr>
          <w:rFonts w:hint="eastAsia" w:ascii="仿宋" w:hAnsi="仿宋" w:eastAsia="仿宋" w:cs="宋体"/>
          <w:color w:val="auto"/>
          <w:kern w:val="0"/>
          <w:szCs w:val="21"/>
        </w:rPr>
        <w:t>供应商（盖章）：</w:t>
      </w:r>
    </w:p>
    <w:p w14:paraId="62A05117">
      <w:pPr>
        <w:spacing w:line="360" w:lineRule="auto"/>
        <w:ind w:firstLine="630" w:firstLineChars="300"/>
        <w:rPr>
          <w:rFonts w:ascii="仿宋" w:hAnsi="仿宋" w:eastAsia="仿宋" w:cs="宋体"/>
          <w:color w:val="auto"/>
          <w:kern w:val="0"/>
          <w:szCs w:val="21"/>
        </w:rPr>
      </w:pPr>
      <w:r>
        <w:rPr>
          <w:rFonts w:hint="eastAsia" w:ascii="仿宋" w:hAnsi="仿宋" w:eastAsia="仿宋" w:cs="宋体"/>
          <w:color w:val="auto"/>
          <w:kern w:val="0"/>
          <w:szCs w:val="21"/>
        </w:rPr>
        <w:t>法定代表人（签章）：</w:t>
      </w:r>
    </w:p>
    <w:p w14:paraId="21AF6594">
      <w:pPr>
        <w:spacing w:line="360" w:lineRule="auto"/>
        <w:ind w:firstLine="630" w:firstLineChars="300"/>
        <w:rPr>
          <w:rFonts w:ascii="仿宋" w:hAnsi="仿宋" w:eastAsia="仿宋" w:cs="宋体"/>
          <w:color w:val="auto"/>
          <w:kern w:val="0"/>
          <w:szCs w:val="21"/>
        </w:rPr>
      </w:pPr>
      <w:r>
        <w:rPr>
          <w:rFonts w:hint="eastAsia" w:ascii="仿宋" w:hAnsi="仿宋" w:eastAsia="仿宋" w:cs="宋体"/>
          <w:color w:val="auto"/>
          <w:kern w:val="0"/>
          <w:szCs w:val="21"/>
        </w:rPr>
        <w:t>性别：年龄：</w:t>
      </w:r>
    </w:p>
    <w:p w14:paraId="07FF4F46">
      <w:pPr>
        <w:spacing w:line="360" w:lineRule="auto"/>
        <w:ind w:firstLine="630" w:firstLineChars="300"/>
        <w:rPr>
          <w:rFonts w:ascii="仿宋" w:hAnsi="仿宋" w:eastAsia="仿宋" w:cs="宋体"/>
          <w:color w:val="auto"/>
          <w:kern w:val="0"/>
          <w:szCs w:val="21"/>
        </w:rPr>
      </w:pPr>
      <w:r>
        <w:rPr>
          <w:rFonts w:hint="eastAsia" w:ascii="仿宋" w:hAnsi="仿宋" w:eastAsia="仿宋" w:cs="宋体"/>
          <w:color w:val="auto"/>
          <w:kern w:val="0"/>
          <w:szCs w:val="21"/>
        </w:rPr>
        <w:t>身份证号码：</w:t>
      </w:r>
    </w:p>
    <w:p w14:paraId="7E78F4E7">
      <w:pPr>
        <w:spacing w:line="360" w:lineRule="auto"/>
        <w:ind w:firstLine="5985" w:firstLineChars="2850"/>
        <w:rPr>
          <w:rFonts w:ascii="仿宋" w:hAnsi="仿宋" w:eastAsia="仿宋" w:cs="宋体"/>
          <w:color w:val="auto"/>
          <w:kern w:val="0"/>
          <w:szCs w:val="21"/>
        </w:rPr>
      </w:pPr>
      <w:r>
        <w:rPr>
          <w:rFonts w:hint="eastAsia" w:ascii="仿宋" w:hAnsi="仿宋" w:eastAsia="仿宋" w:cs="宋体"/>
          <w:color w:val="auto"/>
          <w:kern w:val="0"/>
          <w:szCs w:val="21"/>
        </w:rPr>
        <w:t>年月日</w:t>
      </w:r>
    </w:p>
    <w:p w14:paraId="1DA91AFA">
      <w:pPr>
        <w:autoSpaceDE w:val="0"/>
        <w:autoSpaceDN w:val="0"/>
        <w:adjustRightInd w:val="0"/>
        <w:spacing w:line="360" w:lineRule="auto"/>
        <w:rPr>
          <w:rFonts w:ascii="仿宋" w:hAnsi="仿宋" w:eastAsia="仿宋" w:cs="宋体"/>
          <w:color w:val="auto"/>
          <w:kern w:val="0"/>
          <w:szCs w:val="21"/>
        </w:rPr>
      </w:pPr>
    </w:p>
    <w:p w14:paraId="0FA98721">
      <w:pPr>
        <w:autoSpaceDE w:val="0"/>
        <w:autoSpaceDN w:val="0"/>
        <w:adjustRightInd w:val="0"/>
        <w:spacing w:line="360" w:lineRule="auto"/>
        <w:rPr>
          <w:rFonts w:ascii="仿宋" w:hAnsi="仿宋" w:eastAsia="仿宋" w:cs="宋体"/>
          <w:color w:val="auto"/>
          <w:kern w:val="0"/>
          <w:szCs w:val="21"/>
        </w:rPr>
      </w:pPr>
    </w:p>
    <w:p w14:paraId="482CEB84">
      <w:pPr>
        <w:autoSpaceDE w:val="0"/>
        <w:autoSpaceDN w:val="0"/>
        <w:adjustRightInd w:val="0"/>
        <w:spacing w:line="360" w:lineRule="auto"/>
        <w:rPr>
          <w:rFonts w:ascii="仿宋" w:hAnsi="仿宋" w:eastAsia="仿宋" w:cs="宋体"/>
          <w:color w:val="auto"/>
          <w:kern w:val="0"/>
          <w:szCs w:val="21"/>
        </w:rPr>
      </w:pP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14:paraId="09BD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9071" w:type="dxa"/>
          </w:tcPr>
          <w:p w14:paraId="08323A62">
            <w:pPr>
              <w:spacing w:line="360" w:lineRule="auto"/>
              <w:rPr>
                <w:rFonts w:ascii="仿宋" w:hAnsi="仿宋" w:eastAsia="仿宋" w:cs="宋体"/>
                <w:color w:val="auto"/>
                <w:kern w:val="0"/>
                <w:szCs w:val="21"/>
              </w:rPr>
            </w:pPr>
          </w:p>
          <w:p w14:paraId="0DB748D6">
            <w:pPr>
              <w:spacing w:line="360" w:lineRule="auto"/>
              <w:rPr>
                <w:rFonts w:ascii="仿宋" w:hAnsi="仿宋" w:eastAsia="仿宋" w:cs="宋体"/>
                <w:color w:val="auto"/>
                <w:kern w:val="0"/>
                <w:szCs w:val="21"/>
              </w:rPr>
            </w:pPr>
            <w:r>
              <w:rPr>
                <w:rFonts w:hint="eastAsia" w:ascii="仿宋" w:hAnsi="仿宋" w:eastAsia="仿宋" w:cs="宋体"/>
                <w:color w:val="auto"/>
                <w:kern w:val="0"/>
                <w:szCs w:val="21"/>
              </w:rPr>
              <w:t>法定代表人身份证（复印件）：</w:t>
            </w:r>
          </w:p>
          <w:p w14:paraId="59299CCB">
            <w:pPr>
              <w:spacing w:line="360" w:lineRule="auto"/>
              <w:rPr>
                <w:rFonts w:ascii="仿宋" w:hAnsi="仿宋" w:eastAsia="仿宋" w:cs="宋体"/>
                <w:color w:val="auto"/>
                <w:kern w:val="0"/>
                <w:szCs w:val="21"/>
              </w:rPr>
            </w:pPr>
          </w:p>
        </w:tc>
      </w:tr>
    </w:tbl>
    <w:p w14:paraId="7C38FA50">
      <w:pPr>
        <w:spacing w:line="360" w:lineRule="auto"/>
        <w:rPr>
          <w:rFonts w:ascii="仿宋" w:hAnsi="仿宋" w:eastAsia="仿宋" w:cs="宋体"/>
          <w:color w:val="auto"/>
          <w:kern w:val="0"/>
          <w:szCs w:val="21"/>
        </w:rPr>
      </w:pPr>
      <w:r>
        <w:rPr>
          <w:rFonts w:hint="eastAsia" w:ascii="仿宋" w:hAnsi="仿宋" w:eastAsia="仿宋" w:cs="宋体"/>
          <w:color w:val="auto"/>
          <w:kern w:val="0"/>
          <w:szCs w:val="21"/>
        </w:rPr>
        <w:t>注：</w:t>
      </w:r>
    </w:p>
    <w:p w14:paraId="281CFA58">
      <w:pPr>
        <w:numPr>
          <w:ilvl w:val="1"/>
          <w:numId w:val="35"/>
        </w:numPr>
        <w:spacing w:line="360" w:lineRule="auto"/>
        <w:rPr>
          <w:rFonts w:ascii="仿宋" w:hAnsi="仿宋" w:eastAsia="仿宋" w:cs="宋体"/>
          <w:color w:val="auto"/>
          <w:kern w:val="0"/>
          <w:szCs w:val="21"/>
        </w:rPr>
      </w:pPr>
      <w:r>
        <w:rPr>
          <w:rFonts w:hint="eastAsia" w:ascii="仿宋" w:hAnsi="仿宋" w:eastAsia="仿宋" w:cs="宋体"/>
          <w:color w:val="auto"/>
          <w:kern w:val="0"/>
          <w:szCs w:val="21"/>
        </w:rPr>
        <w:t>本表适用于供应商不授权代理人，而由法定代表人直接参加磋商并签署响应文件的情况；</w:t>
      </w:r>
    </w:p>
    <w:p w14:paraId="7558D745">
      <w:pPr>
        <w:numPr>
          <w:ilvl w:val="1"/>
          <w:numId w:val="35"/>
        </w:numPr>
        <w:spacing w:line="360" w:lineRule="auto"/>
        <w:rPr>
          <w:rFonts w:ascii="仿宋" w:hAnsi="仿宋" w:eastAsia="仿宋" w:cs="宋体"/>
          <w:color w:val="auto"/>
          <w:kern w:val="0"/>
          <w:szCs w:val="21"/>
        </w:rPr>
      </w:pPr>
      <w:r>
        <w:rPr>
          <w:rFonts w:hint="eastAsia" w:ascii="仿宋" w:hAnsi="仿宋" w:eastAsia="仿宋" w:cs="宋体"/>
          <w:color w:val="auto"/>
          <w:kern w:val="0"/>
          <w:szCs w:val="21"/>
        </w:rPr>
        <w:t>如供应商具有企业法人代表证书，则还应在本证明书后附上企业法人代表证书复印件。</w:t>
      </w:r>
    </w:p>
    <w:p w14:paraId="488E381A">
      <w:pPr>
        <w:rPr>
          <w:rFonts w:ascii="仿宋" w:hAnsi="仿宋" w:eastAsia="仿宋" w:cs="宋体"/>
          <w:b/>
          <w:color w:val="auto"/>
          <w:kern w:val="0"/>
          <w:szCs w:val="21"/>
        </w:rPr>
      </w:pPr>
    </w:p>
    <w:p w14:paraId="2E03D2D8">
      <w:pPr>
        <w:spacing w:line="360" w:lineRule="auto"/>
        <w:rPr>
          <w:rFonts w:ascii="仿宋" w:hAnsi="仿宋" w:eastAsia="仿宋" w:cs="宋体"/>
          <w:color w:val="auto"/>
          <w:szCs w:val="21"/>
        </w:rPr>
      </w:pPr>
    </w:p>
    <w:p w14:paraId="20265786">
      <w:pPr>
        <w:tabs>
          <w:tab w:val="left" w:pos="3969"/>
        </w:tabs>
        <w:spacing w:line="500" w:lineRule="exact"/>
        <w:rPr>
          <w:rFonts w:ascii="仿宋" w:hAnsi="仿宋" w:eastAsia="仿宋" w:cs="宋体"/>
          <w:color w:val="auto"/>
          <w:szCs w:val="21"/>
        </w:rPr>
      </w:pPr>
    </w:p>
    <w:p w14:paraId="697D3383">
      <w:pPr>
        <w:numPr>
          <w:ilvl w:val="4"/>
          <w:numId w:val="31"/>
        </w:numPr>
        <w:tabs>
          <w:tab w:val="left" w:pos="540"/>
        </w:tabs>
        <w:autoSpaceDE w:val="0"/>
        <w:autoSpaceDN w:val="0"/>
        <w:adjustRightInd w:val="0"/>
        <w:ind w:left="540" w:hanging="540"/>
        <w:outlineLvl w:val="1"/>
        <w:rPr>
          <w:rFonts w:ascii="仿宋" w:hAnsi="仿宋" w:eastAsia="仿宋" w:cs="宋体"/>
          <w:color w:val="auto"/>
          <w:szCs w:val="21"/>
        </w:rPr>
      </w:pPr>
      <w:bookmarkStart w:id="254" w:name="_Toc432149006"/>
      <w:bookmarkStart w:id="255" w:name="_Toc422466732"/>
      <w:r>
        <w:rPr>
          <w:rFonts w:hint="eastAsia" w:ascii="仿宋" w:hAnsi="仿宋" w:eastAsia="仿宋" w:cs="宋体"/>
          <w:b/>
          <w:bCs/>
          <w:color w:val="auto"/>
          <w:sz w:val="24"/>
        </w:rPr>
        <w:br w:type="page"/>
      </w:r>
      <w:bookmarkEnd w:id="254"/>
      <w:bookmarkEnd w:id="255"/>
      <w:r>
        <w:rPr>
          <w:rFonts w:ascii="仿宋" w:hAnsi="仿宋" w:eastAsia="仿宋" w:cs="宋体"/>
          <w:color w:val="auto"/>
          <w:szCs w:val="21"/>
        </w:rPr>
        <w:t xml:space="preserve"> </w:t>
      </w:r>
      <w:bookmarkStart w:id="256" w:name="_Toc149035959"/>
      <w:bookmarkStart w:id="257" w:name="_Toc21205"/>
      <w:bookmarkStart w:id="258" w:name="_Toc259028723"/>
      <w:bookmarkStart w:id="259" w:name="_Toc19910"/>
      <w:bookmarkStart w:id="260" w:name="_Toc460258117"/>
      <w:bookmarkStart w:id="261" w:name="_Toc424832831"/>
      <w:bookmarkStart w:id="262" w:name="_Toc432149007"/>
      <w:r>
        <w:rPr>
          <w:rFonts w:hint="eastAsia" w:ascii="仿宋" w:hAnsi="仿宋" w:eastAsia="仿宋" w:cs="宋体"/>
          <w:b/>
          <w:bCs/>
          <w:color w:val="auto"/>
          <w:sz w:val="24"/>
        </w:rPr>
        <w:t>分项报价表</w:t>
      </w:r>
      <w:bookmarkEnd w:id="256"/>
      <w:bookmarkEnd w:id="257"/>
      <w:bookmarkEnd w:id="258"/>
      <w:bookmarkEnd w:id="259"/>
      <w:bookmarkEnd w:id="260"/>
    </w:p>
    <w:p w14:paraId="50DFC87C">
      <w:pPr>
        <w:pStyle w:val="7"/>
        <w:rPr>
          <w:rFonts w:ascii="仿宋" w:hAnsi="仿宋" w:eastAsia="仿宋" w:cs="宋体"/>
          <w:color w:val="auto"/>
          <w:szCs w:val="21"/>
        </w:rPr>
      </w:pPr>
    </w:p>
    <w:p w14:paraId="0756E049">
      <w:pPr>
        <w:pStyle w:val="7"/>
        <w:rPr>
          <w:rFonts w:ascii="仿宋" w:hAnsi="仿宋" w:eastAsia="仿宋" w:cs="宋体"/>
          <w:color w:val="auto"/>
          <w:szCs w:val="21"/>
        </w:rPr>
      </w:pPr>
      <w:r>
        <w:rPr>
          <w:rFonts w:hint="eastAsia" w:ascii="仿宋" w:hAnsi="仿宋" w:eastAsia="仿宋" w:cs="宋体"/>
          <w:color w:val="auto"/>
          <w:szCs w:val="21"/>
        </w:rPr>
        <w:t xml:space="preserve">项目编号：                </w:t>
      </w:r>
    </w:p>
    <w:p w14:paraId="362B47FE">
      <w:pPr>
        <w:pStyle w:val="7"/>
        <w:rPr>
          <w:rFonts w:ascii="仿宋" w:hAnsi="仿宋" w:eastAsia="仿宋" w:cs="宋体"/>
          <w:color w:val="auto"/>
          <w:szCs w:val="21"/>
        </w:rPr>
      </w:pPr>
      <w:r>
        <w:rPr>
          <w:rFonts w:hint="eastAsia" w:ascii="仿宋" w:hAnsi="仿宋" w:eastAsia="仿宋" w:cs="宋体"/>
          <w:color w:val="auto"/>
          <w:szCs w:val="21"/>
        </w:rPr>
        <w:t xml:space="preserve">项目名称： </w:t>
      </w:r>
    </w:p>
    <w:p w14:paraId="1121C015">
      <w:pPr>
        <w:pStyle w:val="7"/>
        <w:rPr>
          <w:rFonts w:ascii="仿宋" w:hAnsi="仿宋" w:eastAsia="仿宋" w:cs="宋体"/>
          <w:color w:val="auto"/>
          <w:szCs w:val="21"/>
        </w:rPr>
      </w:pPr>
    </w:p>
    <w:tbl>
      <w:tblPr>
        <w:tblStyle w:val="20"/>
        <w:tblW w:w="9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701"/>
        <w:gridCol w:w="2126"/>
        <w:gridCol w:w="1276"/>
        <w:gridCol w:w="850"/>
        <w:gridCol w:w="1134"/>
        <w:gridCol w:w="1134"/>
        <w:gridCol w:w="905"/>
      </w:tblGrid>
      <w:tr w14:paraId="7A0A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78CFFB10">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序号</w:t>
            </w:r>
          </w:p>
        </w:tc>
        <w:tc>
          <w:tcPr>
            <w:tcW w:w="1701" w:type="dxa"/>
            <w:vAlign w:val="center"/>
          </w:tcPr>
          <w:p w14:paraId="130FCE6A">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货物/服务名称</w:t>
            </w:r>
          </w:p>
        </w:tc>
        <w:tc>
          <w:tcPr>
            <w:tcW w:w="2126" w:type="dxa"/>
            <w:vAlign w:val="center"/>
          </w:tcPr>
          <w:p w14:paraId="7E32505B">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制造商/服务提供商</w:t>
            </w:r>
          </w:p>
        </w:tc>
        <w:tc>
          <w:tcPr>
            <w:tcW w:w="1276" w:type="dxa"/>
            <w:vAlign w:val="center"/>
          </w:tcPr>
          <w:p w14:paraId="21D0E5DD">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规格型号（如有）</w:t>
            </w:r>
          </w:p>
        </w:tc>
        <w:tc>
          <w:tcPr>
            <w:tcW w:w="850" w:type="dxa"/>
            <w:vAlign w:val="center"/>
          </w:tcPr>
          <w:p w14:paraId="25A15303">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数量</w:t>
            </w:r>
          </w:p>
        </w:tc>
        <w:tc>
          <w:tcPr>
            <w:tcW w:w="1134" w:type="dxa"/>
            <w:vAlign w:val="center"/>
          </w:tcPr>
          <w:p w14:paraId="538FA57B">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单价</w:t>
            </w:r>
          </w:p>
        </w:tc>
        <w:tc>
          <w:tcPr>
            <w:tcW w:w="1134" w:type="dxa"/>
            <w:vAlign w:val="center"/>
          </w:tcPr>
          <w:p w14:paraId="5B76A2DF">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总价</w:t>
            </w:r>
          </w:p>
        </w:tc>
        <w:tc>
          <w:tcPr>
            <w:tcW w:w="905" w:type="dxa"/>
            <w:vAlign w:val="center"/>
          </w:tcPr>
          <w:p w14:paraId="7987B41A">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备注</w:t>
            </w:r>
          </w:p>
        </w:tc>
      </w:tr>
      <w:tr w14:paraId="52AB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00" w:type="dxa"/>
            <w:vAlign w:val="center"/>
          </w:tcPr>
          <w:p w14:paraId="39A2AA0B">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1</w:t>
            </w:r>
          </w:p>
        </w:tc>
        <w:tc>
          <w:tcPr>
            <w:tcW w:w="1701" w:type="dxa"/>
            <w:vAlign w:val="center"/>
          </w:tcPr>
          <w:p w14:paraId="27239872">
            <w:pPr>
              <w:adjustRightInd w:val="0"/>
              <w:snapToGrid w:val="0"/>
              <w:jc w:val="center"/>
              <w:rPr>
                <w:rFonts w:ascii="仿宋" w:hAnsi="仿宋" w:eastAsia="仿宋" w:cs="宋体"/>
                <w:color w:val="auto"/>
                <w:szCs w:val="21"/>
              </w:rPr>
            </w:pPr>
          </w:p>
        </w:tc>
        <w:tc>
          <w:tcPr>
            <w:tcW w:w="2126" w:type="dxa"/>
            <w:vAlign w:val="center"/>
          </w:tcPr>
          <w:p w14:paraId="168EA5D6">
            <w:pPr>
              <w:adjustRightInd w:val="0"/>
              <w:snapToGrid w:val="0"/>
              <w:jc w:val="center"/>
              <w:rPr>
                <w:rFonts w:ascii="仿宋" w:hAnsi="仿宋" w:eastAsia="仿宋" w:cs="宋体"/>
                <w:color w:val="auto"/>
                <w:szCs w:val="21"/>
              </w:rPr>
            </w:pPr>
          </w:p>
        </w:tc>
        <w:tc>
          <w:tcPr>
            <w:tcW w:w="1276" w:type="dxa"/>
            <w:vAlign w:val="center"/>
          </w:tcPr>
          <w:p w14:paraId="1AE0A561">
            <w:pPr>
              <w:adjustRightInd w:val="0"/>
              <w:snapToGrid w:val="0"/>
              <w:jc w:val="center"/>
              <w:rPr>
                <w:rFonts w:ascii="仿宋" w:hAnsi="仿宋" w:eastAsia="仿宋" w:cs="宋体"/>
                <w:color w:val="auto"/>
                <w:szCs w:val="21"/>
              </w:rPr>
            </w:pPr>
          </w:p>
        </w:tc>
        <w:tc>
          <w:tcPr>
            <w:tcW w:w="850" w:type="dxa"/>
            <w:vAlign w:val="center"/>
          </w:tcPr>
          <w:p w14:paraId="1B1CA1A1">
            <w:pPr>
              <w:adjustRightInd w:val="0"/>
              <w:snapToGrid w:val="0"/>
              <w:jc w:val="center"/>
              <w:rPr>
                <w:rFonts w:ascii="仿宋" w:hAnsi="仿宋" w:eastAsia="仿宋" w:cs="宋体"/>
                <w:color w:val="auto"/>
                <w:szCs w:val="21"/>
              </w:rPr>
            </w:pPr>
          </w:p>
        </w:tc>
        <w:tc>
          <w:tcPr>
            <w:tcW w:w="1134" w:type="dxa"/>
            <w:vAlign w:val="center"/>
          </w:tcPr>
          <w:p w14:paraId="0D9E5FD4">
            <w:pPr>
              <w:adjustRightInd w:val="0"/>
              <w:snapToGrid w:val="0"/>
              <w:jc w:val="center"/>
              <w:rPr>
                <w:rFonts w:ascii="仿宋" w:hAnsi="仿宋" w:eastAsia="仿宋" w:cs="宋体"/>
                <w:color w:val="auto"/>
                <w:szCs w:val="21"/>
              </w:rPr>
            </w:pPr>
          </w:p>
        </w:tc>
        <w:tc>
          <w:tcPr>
            <w:tcW w:w="1134" w:type="dxa"/>
            <w:vAlign w:val="center"/>
          </w:tcPr>
          <w:p w14:paraId="519D05C6">
            <w:pPr>
              <w:adjustRightInd w:val="0"/>
              <w:snapToGrid w:val="0"/>
              <w:jc w:val="center"/>
              <w:rPr>
                <w:rFonts w:ascii="仿宋" w:hAnsi="仿宋" w:eastAsia="仿宋" w:cs="宋体"/>
                <w:color w:val="auto"/>
                <w:szCs w:val="21"/>
              </w:rPr>
            </w:pPr>
          </w:p>
        </w:tc>
        <w:tc>
          <w:tcPr>
            <w:tcW w:w="905" w:type="dxa"/>
            <w:vAlign w:val="center"/>
          </w:tcPr>
          <w:p w14:paraId="4F94C820">
            <w:pPr>
              <w:adjustRightInd w:val="0"/>
              <w:snapToGrid w:val="0"/>
              <w:jc w:val="center"/>
              <w:rPr>
                <w:rFonts w:ascii="仿宋" w:hAnsi="仿宋" w:eastAsia="仿宋" w:cs="宋体"/>
                <w:color w:val="auto"/>
                <w:szCs w:val="21"/>
              </w:rPr>
            </w:pPr>
          </w:p>
        </w:tc>
      </w:tr>
      <w:tr w14:paraId="7459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2E10F475">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2</w:t>
            </w:r>
          </w:p>
        </w:tc>
        <w:tc>
          <w:tcPr>
            <w:tcW w:w="1701" w:type="dxa"/>
            <w:vAlign w:val="center"/>
          </w:tcPr>
          <w:p w14:paraId="53705843">
            <w:pPr>
              <w:adjustRightInd w:val="0"/>
              <w:snapToGrid w:val="0"/>
              <w:jc w:val="center"/>
              <w:rPr>
                <w:rFonts w:ascii="仿宋" w:hAnsi="仿宋" w:eastAsia="仿宋" w:cs="宋体"/>
                <w:color w:val="auto"/>
                <w:szCs w:val="21"/>
              </w:rPr>
            </w:pPr>
          </w:p>
        </w:tc>
        <w:tc>
          <w:tcPr>
            <w:tcW w:w="2126" w:type="dxa"/>
            <w:vAlign w:val="center"/>
          </w:tcPr>
          <w:p w14:paraId="56AB2F73">
            <w:pPr>
              <w:adjustRightInd w:val="0"/>
              <w:snapToGrid w:val="0"/>
              <w:jc w:val="center"/>
              <w:rPr>
                <w:rFonts w:ascii="仿宋" w:hAnsi="仿宋" w:eastAsia="仿宋" w:cs="宋体"/>
                <w:color w:val="auto"/>
                <w:szCs w:val="21"/>
              </w:rPr>
            </w:pPr>
          </w:p>
        </w:tc>
        <w:tc>
          <w:tcPr>
            <w:tcW w:w="1276" w:type="dxa"/>
            <w:vAlign w:val="center"/>
          </w:tcPr>
          <w:p w14:paraId="52F07A94">
            <w:pPr>
              <w:adjustRightInd w:val="0"/>
              <w:snapToGrid w:val="0"/>
              <w:jc w:val="center"/>
              <w:rPr>
                <w:rFonts w:ascii="仿宋" w:hAnsi="仿宋" w:eastAsia="仿宋" w:cs="宋体"/>
                <w:color w:val="auto"/>
                <w:szCs w:val="21"/>
              </w:rPr>
            </w:pPr>
          </w:p>
        </w:tc>
        <w:tc>
          <w:tcPr>
            <w:tcW w:w="850" w:type="dxa"/>
            <w:vAlign w:val="center"/>
          </w:tcPr>
          <w:p w14:paraId="23F5E93E">
            <w:pPr>
              <w:adjustRightInd w:val="0"/>
              <w:snapToGrid w:val="0"/>
              <w:jc w:val="center"/>
              <w:rPr>
                <w:rFonts w:ascii="仿宋" w:hAnsi="仿宋" w:eastAsia="仿宋" w:cs="宋体"/>
                <w:color w:val="auto"/>
                <w:szCs w:val="21"/>
              </w:rPr>
            </w:pPr>
          </w:p>
        </w:tc>
        <w:tc>
          <w:tcPr>
            <w:tcW w:w="1134" w:type="dxa"/>
            <w:vAlign w:val="center"/>
          </w:tcPr>
          <w:p w14:paraId="29D39472">
            <w:pPr>
              <w:adjustRightInd w:val="0"/>
              <w:snapToGrid w:val="0"/>
              <w:jc w:val="center"/>
              <w:rPr>
                <w:rFonts w:ascii="仿宋" w:hAnsi="仿宋" w:eastAsia="仿宋" w:cs="宋体"/>
                <w:color w:val="auto"/>
                <w:szCs w:val="21"/>
              </w:rPr>
            </w:pPr>
          </w:p>
        </w:tc>
        <w:tc>
          <w:tcPr>
            <w:tcW w:w="1134" w:type="dxa"/>
            <w:vAlign w:val="center"/>
          </w:tcPr>
          <w:p w14:paraId="461C9AC1">
            <w:pPr>
              <w:adjustRightInd w:val="0"/>
              <w:snapToGrid w:val="0"/>
              <w:jc w:val="center"/>
              <w:rPr>
                <w:rFonts w:ascii="仿宋" w:hAnsi="仿宋" w:eastAsia="仿宋" w:cs="宋体"/>
                <w:color w:val="auto"/>
                <w:szCs w:val="21"/>
              </w:rPr>
            </w:pPr>
          </w:p>
        </w:tc>
        <w:tc>
          <w:tcPr>
            <w:tcW w:w="905" w:type="dxa"/>
            <w:vAlign w:val="center"/>
          </w:tcPr>
          <w:p w14:paraId="50F750BE">
            <w:pPr>
              <w:adjustRightInd w:val="0"/>
              <w:snapToGrid w:val="0"/>
              <w:jc w:val="center"/>
              <w:rPr>
                <w:rFonts w:ascii="仿宋" w:hAnsi="仿宋" w:eastAsia="仿宋" w:cs="宋体"/>
                <w:color w:val="auto"/>
                <w:szCs w:val="21"/>
              </w:rPr>
            </w:pPr>
          </w:p>
        </w:tc>
      </w:tr>
      <w:tr w14:paraId="5EE1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367899E5">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3</w:t>
            </w:r>
          </w:p>
        </w:tc>
        <w:tc>
          <w:tcPr>
            <w:tcW w:w="1701" w:type="dxa"/>
            <w:vAlign w:val="center"/>
          </w:tcPr>
          <w:p w14:paraId="057DF7CE">
            <w:pPr>
              <w:adjustRightInd w:val="0"/>
              <w:snapToGrid w:val="0"/>
              <w:jc w:val="center"/>
              <w:rPr>
                <w:rFonts w:ascii="仿宋" w:hAnsi="仿宋" w:eastAsia="仿宋" w:cs="宋体"/>
                <w:color w:val="auto"/>
                <w:szCs w:val="21"/>
              </w:rPr>
            </w:pPr>
          </w:p>
        </w:tc>
        <w:tc>
          <w:tcPr>
            <w:tcW w:w="2126" w:type="dxa"/>
            <w:vAlign w:val="center"/>
          </w:tcPr>
          <w:p w14:paraId="168C1528">
            <w:pPr>
              <w:adjustRightInd w:val="0"/>
              <w:snapToGrid w:val="0"/>
              <w:jc w:val="center"/>
              <w:rPr>
                <w:rFonts w:ascii="仿宋" w:hAnsi="仿宋" w:eastAsia="仿宋" w:cs="宋体"/>
                <w:color w:val="auto"/>
                <w:szCs w:val="21"/>
              </w:rPr>
            </w:pPr>
          </w:p>
        </w:tc>
        <w:tc>
          <w:tcPr>
            <w:tcW w:w="1276" w:type="dxa"/>
            <w:vAlign w:val="center"/>
          </w:tcPr>
          <w:p w14:paraId="31F382FD">
            <w:pPr>
              <w:adjustRightInd w:val="0"/>
              <w:snapToGrid w:val="0"/>
              <w:jc w:val="center"/>
              <w:rPr>
                <w:rFonts w:ascii="仿宋" w:hAnsi="仿宋" w:eastAsia="仿宋" w:cs="宋体"/>
                <w:color w:val="auto"/>
                <w:szCs w:val="21"/>
              </w:rPr>
            </w:pPr>
          </w:p>
        </w:tc>
        <w:tc>
          <w:tcPr>
            <w:tcW w:w="850" w:type="dxa"/>
            <w:vAlign w:val="center"/>
          </w:tcPr>
          <w:p w14:paraId="5900AA21">
            <w:pPr>
              <w:adjustRightInd w:val="0"/>
              <w:snapToGrid w:val="0"/>
              <w:jc w:val="center"/>
              <w:rPr>
                <w:rFonts w:ascii="仿宋" w:hAnsi="仿宋" w:eastAsia="仿宋" w:cs="宋体"/>
                <w:color w:val="auto"/>
                <w:szCs w:val="21"/>
              </w:rPr>
            </w:pPr>
          </w:p>
        </w:tc>
        <w:tc>
          <w:tcPr>
            <w:tcW w:w="1134" w:type="dxa"/>
            <w:vAlign w:val="center"/>
          </w:tcPr>
          <w:p w14:paraId="52F14420">
            <w:pPr>
              <w:adjustRightInd w:val="0"/>
              <w:snapToGrid w:val="0"/>
              <w:jc w:val="center"/>
              <w:rPr>
                <w:rFonts w:ascii="仿宋" w:hAnsi="仿宋" w:eastAsia="仿宋" w:cs="宋体"/>
                <w:color w:val="auto"/>
                <w:szCs w:val="21"/>
              </w:rPr>
            </w:pPr>
          </w:p>
        </w:tc>
        <w:tc>
          <w:tcPr>
            <w:tcW w:w="1134" w:type="dxa"/>
            <w:vAlign w:val="center"/>
          </w:tcPr>
          <w:p w14:paraId="2F68BB91">
            <w:pPr>
              <w:adjustRightInd w:val="0"/>
              <w:snapToGrid w:val="0"/>
              <w:jc w:val="center"/>
              <w:rPr>
                <w:rFonts w:ascii="仿宋" w:hAnsi="仿宋" w:eastAsia="仿宋" w:cs="宋体"/>
                <w:color w:val="auto"/>
                <w:szCs w:val="21"/>
              </w:rPr>
            </w:pPr>
          </w:p>
        </w:tc>
        <w:tc>
          <w:tcPr>
            <w:tcW w:w="905" w:type="dxa"/>
            <w:vAlign w:val="center"/>
          </w:tcPr>
          <w:p w14:paraId="72741849">
            <w:pPr>
              <w:adjustRightInd w:val="0"/>
              <w:snapToGrid w:val="0"/>
              <w:jc w:val="center"/>
              <w:rPr>
                <w:rFonts w:ascii="仿宋" w:hAnsi="仿宋" w:eastAsia="仿宋" w:cs="宋体"/>
                <w:color w:val="auto"/>
                <w:szCs w:val="21"/>
              </w:rPr>
            </w:pPr>
          </w:p>
        </w:tc>
      </w:tr>
      <w:tr w14:paraId="7694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32F6924B">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5</w:t>
            </w:r>
          </w:p>
        </w:tc>
        <w:tc>
          <w:tcPr>
            <w:tcW w:w="1701" w:type="dxa"/>
            <w:vAlign w:val="center"/>
          </w:tcPr>
          <w:p w14:paraId="3C1CC256">
            <w:pPr>
              <w:adjustRightInd w:val="0"/>
              <w:snapToGrid w:val="0"/>
              <w:jc w:val="center"/>
              <w:rPr>
                <w:rFonts w:ascii="仿宋" w:hAnsi="仿宋" w:eastAsia="仿宋" w:cs="宋体"/>
                <w:color w:val="auto"/>
                <w:szCs w:val="21"/>
              </w:rPr>
            </w:pPr>
          </w:p>
        </w:tc>
        <w:tc>
          <w:tcPr>
            <w:tcW w:w="2126" w:type="dxa"/>
            <w:vAlign w:val="center"/>
          </w:tcPr>
          <w:p w14:paraId="00211A7D">
            <w:pPr>
              <w:adjustRightInd w:val="0"/>
              <w:snapToGrid w:val="0"/>
              <w:jc w:val="center"/>
              <w:rPr>
                <w:rFonts w:ascii="仿宋" w:hAnsi="仿宋" w:eastAsia="仿宋" w:cs="宋体"/>
                <w:color w:val="auto"/>
                <w:szCs w:val="21"/>
              </w:rPr>
            </w:pPr>
          </w:p>
        </w:tc>
        <w:tc>
          <w:tcPr>
            <w:tcW w:w="1276" w:type="dxa"/>
            <w:vAlign w:val="center"/>
          </w:tcPr>
          <w:p w14:paraId="7B1FA206">
            <w:pPr>
              <w:adjustRightInd w:val="0"/>
              <w:snapToGrid w:val="0"/>
              <w:jc w:val="center"/>
              <w:rPr>
                <w:rFonts w:ascii="仿宋" w:hAnsi="仿宋" w:eastAsia="仿宋" w:cs="宋体"/>
                <w:color w:val="auto"/>
                <w:szCs w:val="21"/>
              </w:rPr>
            </w:pPr>
          </w:p>
        </w:tc>
        <w:tc>
          <w:tcPr>
            <w:tcW w:w="850" w:type="dxa"/>
            <w:vAlign w:val="center"/>
          </w:tcPr>
          <w:p w14:paraId="41130FF5">
            <w:pPr>
              <w:adjustRightInd w:val="0"/>
              <w:snapToGrid w:val="0"/>
              <w:jc w:val="center"/>
              <w:rPr>
                <w:rFonts w:ascii="仿宋" w:hAnsi="仿宋" w:eastAsia="仿宋" w:cs="宋体"/>
                <w:color w:val="auto"/>
                <w:szCs w:val="21"/>
              </w:rPr>
            </w:pPr>
          </w:p>
        </w:tc>
        <w:tc>
          <w:tcPr>
            <w:tcW w:w="1134" w:type="dxa"/>
            <w:vAlign w:val="center"/>
          </w:tcPr>
          <w:p w14:paraId="35D03DCC">
            <w:pPr>
              <w:adjustRightInd w:val="0"/>
              <w:snapToGrid w:val="0"/>
              <w:jc w:val="center"/>
              <w:rPr>
                <w:rFonts w:ascii="仿宋" w:hAnsi="仿宋" w:eastAsia="仿宋" w:cs="宋体"/>
                <w:color w:val="auto"/>
                <w:szCs w:val="21"/>
              </w:rPr>
            </w:pPr>
          </w:p>
        </w:tc>
        <w:tc>
          <w:tcPr>
            <w:tcW w:w="1134" w:type="dxa"/>
            <w:vAlign w:val="center"/>
          </w:tcPr>
          <w:p w14:paraId="09CBCB31">
            <w:pPr>
              <w:adjustRightInd w:val="0"/>
              <w:snapToGrid w:val="0"/>
              <w:jc w:val="center"/>
              <w:rPr>
                <w:rFonts w:ascii="仿宋" w:hAnsi="仿宋" w:eastAsia="仿宋" w:cs="宋体"/>
                <w:color w:val="auto"/>
                <w:szCs w:val="21"/>
              </w:rPr>
            </w:pPr>
          </w:p>
        </w:tc>
        <w:tc>
          <w:tcPr>
            <w:tcW w:w="905" w:type="dxa"/>
            <w:vAlign w:val="center"/>
          </w:tcPr>
          <w:p w14:paraId="411C3717">
            <w:pPr>
              <w:adjustRightInd w:val="0"/>
              <w:snapToGrid w:val="0"/>
              <w:jc w:val="center"/>
              <w:rPr>
                <w:rFonts w:ascii="仿宋" w:hAnsi="仿宋" w:eastAsia="仿宋" w:cs="宋体"/>
                <w:color w:val="auto"/>
                <w:szCs w:val="21"/>
              </w:rPr>
            </w:pPr>
          </w:p>
        </w:tc>
      </w:tr>
      <w:tr w14:paraId="334F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067F2BB3">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6</w:t>
            </w:r>
          </w:p>
        </w:tc>
        <w:tc>
          <w:tcPr>
            <w:tcW w:w="1701" w:type="dxa"/>
            <w:vAlign w:val="center"/>
          </w:tcPr>
          <w:p w14:paraId="6B356903">
            <w:pPr>
              <w:adjustRightInd w:val="0"/>
              <w:snapToGrid w:val="0"/>
              <w:jc w:val="center"/>
              <w:rPr>
                <w:rFonts w:ascii="仿宋" w:hAnsi="仿宋" w:eastAsia="仿宋" w:cs="宋体"/>
                <w:color w:val="auto"/>
                <w:szCs w:val="21"/>
              </w:rPr>
            </w:pPr>
          </w:p>
        </w:tc>
        <w:tc>
          <w:tcPr>
            <w:tcW w:w="2126" w:type="dxa"/>
            <w:vAlign w:val="center"/>
          </w:tcPr>
          <w:p w14:paraId="443819CA">
            <w:pPr>
              <w:adjustRightInd w:val="0"/>
              <w:snapToGrid w:val="0"/>
              <w:jc w:val="center"/>
              <w:rPr>
                <w:rFonts w:ascii="仿宋" w:hAnsi="仿宋" w:eastAsia="仿宋" w:cs="宋体"/>
                <w:color w:val="auto"/>
                <w:szCs w:val="21"/>
              </w:rPr>
            </w:pPr>
          </w:p>
        </w:tc>
        <w:tc>
          <w:tcPr>
            <w:tcW w:w="1276" w:type="dxa"/>
            <w:vAlign w:val="center"/>
          </w:tcPr>
          <w:p w14:paraId="75626C64">
            <w:pPr>
              <w:adjustRightInd w:val="0"/>
              <w:snapToGrid w:val="0"/>
              <w:jc w:val="center"/>
              <w:rPr>
                <w:rFonts w:ascii="仿宋" w:hAnsi="仿宋" w:eastAsia="仿宋" w:cs="宋体"/>
                <w:color w:val="auto"/>
                <w:szCs w:val="21"/>
              </w:rPr>
            </w:pPr>
          </w:p>
        </w:tc>
        <w:tc>
          <w:tcPr>
            <w:tcW w:w="850" w:type="dxa"/>
            <w:vAlign w:val="center"/>
          </w:tcPr>
          <w:p w14:paraId="75325589">
            <w:pPr>
              <w:adjustRightInd w:val="0"/>
              <w:snapToGrid w:val="0"/>
              <w:jc w:val="center"/>
              <w:rPr>
                <w:rFonts w:ascii="仿宋" w:hAnsi="仿宋" w:eastAsia="仿宋" w:cs="宋体"/>
                <w:color w:val="auto"/>
                <w:szCs w:val="21"/>
              </w:rPr>
            </w:pPr>
          </w:p>
        </w:tc>
        <w:tc>
          <w:tcPr>
            <w:tcW w:w="1134" w:type="dxa"/>
            <w:vAlign w:val="center"/>
          </w:tcPr>
          <w:p w14:paraId="17F38F9F">
            <w:pPr>
              <w:adjustRightInd w:val="0"/>
              <w:snapToGrid w:val="0"/>
              <w:jc w:val="center"/>
              <w:rPr>
                <w:rFonts w:ascii="仿宋" w:hAnsi="仿宋" w:eastAsia="仿宋" w:cs="宋体"/>
                <w:color w:val="auto"/>
                <w:szCs w:val="21"/>
              </w:rPr>
            </w:pPr>
          </w:p>
        </w:tc>
        <w:tc>
          <w:tcPr>
            <w:tcW w:w="1134" w:type="dxa"/>
            <w:vAlign w:val="center"/>
          </w:tcPr>
          <w:p w14:paraId="4EEFD8C5">
            <w:pPr>
              <w:adjustRightInd w:val="0"/>
              <w:snapToGrid w:val="0"/>
              <w:jc w:val="center"/>
              <w:rPr>
                <w:rFonts w:ascii="仿宋" w:hAnsi="仿宋" w:eastAsia="仿宋" w:cs="宋体"/>
                <w:color w:val="auto"/>
                <w:szCs w:val="21"/>
              </w:rPr>
            </w:pPr>
          </w:p>
        </w:tc>
        <w:tc>
          <w:tcPr>
            <w:tcW w:w="905" w:type="dxa"/>
            <w:vAlign w:val="center"/>
          </w:tcPr>
          <w:p w14:paraId="1E01F8CD">
            <w:pPr>
              <w:adjustRightInd w:val="0"/>
              <w:snapToGrid w:val="0"/>
              <w:jc w:val="center"/>
              <w:rPr>
                <w:rFonts w:ascii="仿宋" w:hAnsi="仿宋" w:eastAsia="仿宋" w:cs="宋体"/>
                <w:color w:val="auto"/>
                <w:szCs w:val="21"/>
              </w:rPr>
            </w:pPr>
          </w:p>
        </w:tc>
      </w:tr>
      <w:tr w14:paraId="794B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74D77085">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7</w:t>
            </w:r>
          </w:p>
        </w:tc>
        <w:tc>
          <w:tcPr>
            <w:tcW w:w="1701" w:type="dxa"/>
            <w:vAlign w:val="center"/>
          </w:tcPr>
          <w:p w14:paraId="21ADE6B3">
            <w:pPr>
              <w:adjustRightInd w:val="0"/>
              <w:snapToGrid w:val="0"/>
              <w:jc w:val="center"/>
              <w:rPr>
                <w:rFonts w:ascii="仿宋" w:hAnsi="仿宋" w:eastAsia="仿宋" w:cs="宋体"/>
                <w:color w:val="auto"/>
                <w:szCs w:val="21"/>
              </w:rPr>
            </w:pPr>
          </w:p>
        </w:tc>
        <w:tc>
          <w:tcPr>
            <w:tcW w:w="2126" w:type="dxa"/>
            <w:vAlign w:val="center"/>
          </w:tcPr>
          <w:p w14:paraId="30063BE1">
            <w:pPr>
              <w:adjustRightInd w:val="0"/>
              <w:snapToGrid w:val="0"/>
              <w:jc w:val="center"/>
              <w:rPr>
                <w:rFonts w:ascii="仿宋" w:hAnsi="仿宋" w:eastAsia="仿宋" w:cs="宋体"/>
                <w:color w:val="auto"/>
                <w:szCs w:val="21"/>
              </w:rPr>
            </w:pPr>
          </w:p>
        </w:tc>
        <w:tc>
          <w:tcPr>
            <w:tcW w:w="1276" w:type="dxa"/>
            <w:vAlign w:val="center"/>
          </w:tcPr>
          <w:p w14:paraId="3B4A062E">
            <w:pPr>
              <w:adjustRightInd w:val="0"/>
              <w:snapToGrid w:val="0"/>
              <w:jc w:val="center"/>
              <w:rPr>
                <w:rFonts w:ascii="仿宋" w:hAnsi="仿宋" w:eastAsia="仿宋" w:cs="宋体"/>
                <w:color w:val="auto"/>
                <w:szCs w:val="21"/>
              </w:rPr>
            </w:pPr>
          </w:p>
        </w:tc>
        <w:tc>
          <w:tcPr>
            <w:tcW w:w="850" w:type="dxa"/>
            <w:vAlign w:val="center"/>
          </w:tcPr>
          <w:p w14:paraId="747C50C3">
            <w:pPr>
              <w:adjustRightInd w:val="0"/>
              <w:snapToGrid w:val="0"/>
              <w:jc w:val="center"/>
              <w:rPr>
                <w:rFonts w:ascii="仿宋" w:hAnsi="仿宋" w:eastAsia="仿宋" w:cs="宋体"/>
                <w:color w:val="auto"/>
                <w:szCs w:val="21"/>
              </w:rPr>
            </w:pPr>
          </w:p>
        </w:tc>
        <w:tc>
          <w:tcPr>
            <w:tcW w:w="1134" w:type="dxa"/>
            <w:vAlign w:val="center"/>
          </w:tcPr>
          <w:p w14:paraId="05A407D1">
            <w:pPr>
              <w:adjustRightInd w:val="0"/>
              <w:snapToGrid w:val="0"/>
              <w:jc w:val="center"/>
              <w:rPr>
                <w:rFonts w:ascii="仿宋" w:hAnsi="仿宋" w:eastAsia="仿宋" w:cs="宋体"/>
                <w:color w:val="auto"/>
                <w:szCs w:val="21"/>
              </w:rPr>
            </w:pPr>
          </w:p>
        </w:tc>
        <w:tc>
          <w:tcPr>
            <w:tcW w:w="1134" w:type="dxa"/>
            <w:vAlign w:val="center"/>
          </w:tcPr>
          <w:p w14:paraId="656895B3">
            <w:pPr>
              <w:adjustRightInd w:val="0"/>
              <w:snapToGrid w:val="0"/>
              <w:jc w:val="center"/>
              <w:rPr>
                <w:rFonts w:ascii="仿宋" w:hAnsi="仿宋" w:eastAsia="仿宋" w:cs="宋体"/>
                <w:color w:val="auto"/>
                <w:szCs w:val="21"/>
              </w:rPr>
            </w:pPr>
          </w:p>
        </w:tc>
        <w:tc>
          <w:tcPr>
            <w:tcW w:w="905" w:type="dxa"/>
            <w:vAlign w:val="center"/>
          </w:tcPr>
          <w:p w14:paraId="719E3DDD">
            <w:pPr>
              <w:adjustRightInd w:val="0"/>
              <w:snapToGrid w:val="0"/>
              <w:jc w:val="center"/>
              <w:rPr>
                <w:rFonts w:ascii="仿宋" w:hAnsi="仿宋" w:eastAsia="仿宋" w:cs="宋体"/>
                <w:color w:val="auto"/>
                <w:szCs w:val="21"/>
              </w:rPr>
            </w:pPr>
          </w:p>
        </w:tc>
      </w:tr>
      <w:tr w14:paraId="21F2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611CF483">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8</w:t>
            </w:r>
          </w:p>
        </w:tc>
        <w:tc>
          <w:tcPr>
            <w:tcW w:w="1701" w:type="dxa"/>
            <w:vAlign w:val="center"/>
          </w:tcPr>
          <w:p w14:paraId="14D9EC92">
            <w:pPr>
              <w:adjustRightInd w:val="0"/>
              <w:snapToGrid w:val="0"/>
              <w:jc w:val="center"/>
              <w:rPr>
                <w:rFonts w:ascii="仿宋" w:hAnsi="仿宋" w:eastAsia="仿宋" w:cs="宋体"/>
                <w:color w:val="auto"/>
                <w:szCs w:val="21"/>
              </w:rPr>
            </w:pPr>
          </w:p>
        </w:tc>
        <w:tc>
          <w:tcPr>
            <w:tcW w:w="2126" w:type="dxa"/>
            <w:vAlign w:val="center"/>
          </w:tcPr>
          <w:p w14:paraId="171E0535">
            <w:pPr>
              <w:adjustRightInd w:val="0"/>
              <w:snapToGrid w:val="0"/>
              <w:jc w:val="center"/>
              <w:rPr>
                <w:rFonts w:ascii="仿宋" w:hAnsi="仿宋" w:eastAsia="仿宋" w:cs="宋体"/>
                <w:color w:val="auto"/>
                <w:szCs w:val="21"/>
              </w:rPr>
            </w:pPr>
          </w:p>
        </w:tc>
        <w:tc>
          <w:tcPr>
            <w:tcW w:w="1276" w:type="dxa"/>
            <w:vAlign w:val="center"/>
          </w:tcPr>
          <w:p w14:paraId="0C07E1AF">
            <w:pPr>
              <w:adjustRightInd w:val="0"/>
              <w:snapToGrid w:val="0"/>
              <w:jc w:val="center"/>
              <w:rPr>
                <w:rFonts w:ascii="仿宋" w:hAnsi="仿宋" w:eastAsia="仿宋" w:cs="宋体"/>
                <w:color w:val="auto"/>
                <w:szCs w:val="21"/>
              </w:rPr>
            </w:pPr>
          </w:p>
        </w:tc>
        <w:tc>
          <w:tcPr>
            <w:tcW w:w="850" w:type="dxa"/>
            <w:vAlign w:val="center"/>
          </w:tcPr>
          <w:p w14:paraId="580A02C5">
            <w:pPr>
              <w:adjustRightInd w:val="0"/>
              <w:snapToGrid w:val="0"/>
              <w:jc w:val="center"/>
              <w:rPr>
                <w:rFonts w:ascii="仿宋" w:hAnsi="仿宋" w:eastAsia="仿宋" w:cs="宋体"/>
                <w:color w:val="auto"/>
                <w:szCs w:val="21"/>
              </w:rPr>
            </w:pPr>
          </w:p>
        </w:tc>
        <w:tc>
          <w:tcPr>
            <w:tcW w:w="1134" w:type="dxa"/>
            <w:vAlign w:val="center"/>
          </w:tcPr>
          <w:p w14:paraId="10B349D6">
            <w:pPr>
              <w:adjustRightInd w:val="0"/>
              <w:snapToGrid w:val="0"/>
              <w:jc w:val="center"/>
              <w:rPr>
                <w:rFonts w:ascii="仿宋" w:hAnsi="仿宋" w:eastAsia="仿宋" w:cs="宋体"/>
                <w:color w:val="auto"/>
                <w:szCs w:val="21"/>
              </w:rPr>
            </w:pPr>
          </w:p>
        </w:tc>
        <w:tc>
          <w:tcPr>
            <w:tcW w:w="1134" w:type="dxa"/>
            <w:vAlign w:val="center"/>
          </w:tcPr>
          <w:p w14:paraId="78A8E52B">
            <w:pPr>
              <w:adjustRightInd w:val="0"/>
              <w:snapToGrid w:val="0"/>
              <w:jc w:val="center"/>
              <w:rPr>
                <w:rFonts w:ascii="仿宋" w:hAnsi="仿宋" w:eastAsia="仿宋" w:cs="宋体"/>
                <w:color w:val="auto"/>
                <w:szCs w:val="21"/>
              </w:rPr>
            </w:pPr>
          </w:p>
        </w:tc>
        <w:tc>
          <w:tcPr>
            <w:tcW w:w="905" w:type="dxa"/>
            <w:vAlign w:val="center"/>
          </w:tcPr>
          <w:p w14:paraId="10A61D83">
            <w:pPr>
              <w:adjustRightInd w:val="0"/>
              <w:snapToGrid w:val="0"/>
              <w:jc w:val="center"/>
              <w:rPr>
                <w:rFonts w:ascii="仿宋" w:hAnsi="仿宋" w:eastAsia="仿宋" w:cs="宋体"/>
                <w:color w:val="auto"/>
                <w:szCs w:val="21"/>
              </w:rPr>
            </w:pPr>
          </w:p>
        </w:tc>
      </w:tr>
      <w:tr w14:paraId="2C6D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542DC9A5">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9</w:t>
            </w:r>
          </w:p>
        </w:tc>
        <w:tc>
          <w:tcPr>
            <w:tcW w:w="1701" w:type="dxa"/>
            <w:vAlign w:val="center"/>
          </w:tcPr>
          <w:p w14:paraId="254A365E">
            <w:pPr>
              <w:adjustRightInd w:val="0"/>
              <w:snapToGrid w:val="0"/>
              <w:jc w:val="center"/>
              <w:rPr>
                <w:rFonts w:ascii="仿宋" w:hAnsi="仿宋" w:eastAsia="仿宋" w:cs="宋体"/>
                <w:color w:val="auto"/>
                <w:szCs w:val="21"/>
              </w:rPr>
            </w:pPr>
          </w:p>
        </w:tc>
        <w:tc>
          <w:tcPr>
            <w:tcW w:w="2126" w:type="dxa"/>
            <w:vAlign w:val="center"/>
          </w:tcPr>
          <w:p w14:paraId="3E0D628B">
            <w:pPr>
              <w:adjustRightInd w:val="0"/>
              <w:snapToGrid w:val="0"/>
              <w:jc w:val="center"/>
              <w:rPr>
                <w:rFonts w:ascii="仿宋" w:hAnsi="仿宋" w:eastAsia="仿宋" w:cs="宋体"/>
                <w:color w:val="auto"/>
                <w:szCs w:val="21"/>
              </w:rPr>
            </w:pPr>
          </w:p>
        </w:tc>
        <w:tc>
          <w:tcPr>
            <w:tcW w:w="1276" w:type="dxa"/>
            <w:vAlign w:val="center"/>
          </w:tcPr>
          <w:p w14:paraId="1191CD3D">
            <w:pPr>
              <w:adjustRightInd w:val="0"/>
              <w:snapToGrid w:val="0"/>
              <w:jc w:val="center"/>
              <w:rPr>
                <w:rFonts w:ascii="仿宋" w:hAnsi="仿宋" w:eastAsia="仿宋" w:cs="宋体"/>
                <w:color w:val="auto"/>
                <w:szCs w:val="21"/>
              </w:rPr>
            </w:pPr>
          </w:p>
        </w:tc>
        <w:tc>
          <w:tcPr>
            <w:tcW w:w="850" w:type="dxa"/>
            <w:vAlign w:val="center"/>
          </w:tcPr>
          <w:p w14:paraId="58B9BC3D">
            <w:pPr>
              <w:adjustRightInd w:val="0"/>
              <w:snapToGrid w:val="0"/>
              <w:jc w:val="center"/>
              <w:rPr>
                <w:rFonts w:ascii="仿宋" w:hAnsi="仿宋" w:eastAsia="仿宋" w:cs="宋体"/>
                <w:color w:val="auto"/>
                <w:szCs w:val="21"/>
              </w:rPr>
            </w:pPr>
          </w:p>
        </w:tc>
        <w:tc>
          <w:tcPr>
            <w:tcW w:w="1134" w:type="dxa"/>
            <w:vAlign w:val="center"/>
          </w:tcPr>
          <w:p w14:paraId="42CF3BBF">
            <w:pPr>
              <w:adjustRightInd w:val="0"/>
              <w:snapToGrid w:val="0"/>
              <w:jc w:val="center"/>
              <w:rPr>
                <w:rFonts w:ascii="仿宋" w:hAnsi="仿宋" w:eastAsia="仿宋" w:cs="宋体"/>
                <w:color w:val="auto"/>
                <w:szCs w:val="21"/>
              </w:rPr>
            </w:pPr>
          </w:p>
        </w:tc>
        <w:tc>
          <w:tcPr>
            <w:tcW w:w="1134" w:type="dxa"/>
            <w:vAlign w:val="center"/>
          </w:tcPr>
          <w:p w14:paraId="58E19882">
            <w:pPr>
              <w:adjustRightInd w:val="0"/>
              <w:snapToGrid w:val="0"/>
              <w:jc w:val="center"/>
              <w:rPr>
                <w:rFonts w:ascii="仿宋" w:hAnsi="仿宋" w:eastAsia="仿宋" w:cs="宋体"/>
                <w:color w:val="auto"/>
                <w:szCs w:val="21"/>
              </w:rPr>
            </w:pPr>
          </w:p>
        </w:tc>
        <w:tc>
          <w:tcPr>
            <w:tcW w:w="905" w:type="dxa"/>
            <w:vAlign w:val="center"/>
          </w:tcPr>
          <w:p w14:paraId="16F3EF84">
            <w:pPr>
              <w:adjustRightInd w:val="0"/>
              <w:snapToGrid w:val="0"/>
              <w:jc w:val="center"/>
              <w:rPr>
                <w:rFonts w:ascii="仿宋" w:hAnsi="仿宋" w:eastAsia="仿宋" w:cs="宋体"/>
                <w:color w:val="auto"/>
                <w:szCs w:val="21"/>
              </w:rPr>
            </w:pPr>
          </w:p>
        </w:tc>
      </w:tr>
      <w:tr w14:paraId="35CE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56A18F7F">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1</w:t>
            </w:r>
            <w:r>
              <w:rPr>
                <w:rFonts w:ascii="仿宋" w:hAnsi="仿宋" w:eastAsia="仿宋" w:cs="宋体"/>
                <w:color w:val="auto"/>
                <w:szCs w:val="21"/>
              </w:rPr>
              <w:t>0</w:t>
            </w:r>
          </w:p>
        </w:tc>
        <w:tc>
          <w:tcPr>
            <w:tcW w:w="1701" w:type="dxa"/>
            <w:vAlign w:val="center"/>
          </w:tcPr>
          <w:p w14:paraId="5DC95809">
            <w:pPr>
              <w:adjustRightInd w:val="0"/>
              <w:snapToGrid w:val="0"/>
              <w:jc w:val="center"/>
              <w:rPr>
                <w:rFonts w:ascii="仿宋" w:hAnsi="仿宋" w:eastAsia="仿宋" w:cs="宋体"/>
                <w:color w:val="auto"/>
                <w:szCs w:val="21"/>
              </w:rPr>
            </w:pPr>
          </w:p>
        </w:tc>
        <w:tc>
          <w:tcPr>
            <w:tcW w:w="2126" w:type="dxa"/>
            <w:vAlign w:val="center"/>
          </w:tcPr>
          <w:p w14:paraId="58EA0E31">
            <w:pPr>
              <w:adjustRightInd w:val="0"/>
              <w:snapToGrid w:val="0"/>
              <w:jc w:val="center"/>
              <w:rPr>
                <w:rFonts w:ascii="仿宋" w:hAnsi="仿宋" w:eastAsia="仿宋" w:cs="宋体"/>
                <w:color w:val="auto"/>
                <w:szCs w:val="21"/>
              </w:rPr>
            </w:pPr>
          </w:p>
        </w:tc>
        <w:tc>
          <w:tcPr>
            <w:tcW w:w="1276" w:type="dxa"/>
            <w:vAlign w:val="center"/>
          </w:tcPr>
          <w:p w14:paraId="22780BD5">
            <w:pPr>
              <w:adjustRightInd w:val="0"/>
              <w:snapToGrid w:val="0"/>
              <w:jc w:val="center"/>
              <w:rPr>
                <w:rFonts w:ascii="仿宋" w:hAnsi="仿宋" w:eastAsia="仿宋" w:cs="宋体"/>
                <w:color w:val="auto"/>
                <w:szCs w:val="21"/>
              </w:rPr>
            </w:pPr>
          </w:p>
        </w:tc>
        <w:tc>
          <w:tcPr>
            <w:tcW w:w="850" w:type="dxa"/>
            <w:vAlign w:val="center"/>
          </w:tcPr>
          <w:p w14:paraId="1B846504">
            <w:pPr>
              <w:adjustRightInd w:val="0"/>
              <w:snapToGrid w:val="0"/>
              <w:jc w:val="center"/>
              <w:rPr>
                <w:rFonts w:ascii="仿宋" w:hAnsi="仿宋" w:eastAsia="仿宋" w:cs="宋体"/>
                <w:color w:val="auto"/>
                <w:szCs w:val="21"/>
              </w:rPr>
            </w:pPr>
          </w:p>
        </w:tc>
        <w:tc>
          <w:tcPr>
            <w:tcW w:w="1134" w:type="dxa"/>
            <w:vAlign w:val="center"/>
          </w:tcPr>
          <w:p w14:paraId="4CB5A238">
            <w:pPr>
              <w:adjustRightInd w:val="0"/>
              <w:snapToGrid w:val="0"/>
              <w:jc w:val="center"/>
              <w:rPr>
                <w:rFonts w:ascii="仿宋" w:hAnsi="仿宋" w:eastAsia="仿宋" w:cs="宋体"/>
                <w:color w:val="auto"/>
                <w:szCs w:val="21"/>
              </w:rPr>
            </w:pPr>
          </w:p>
        </w:tc>
        <w:tc>
          <w:tcPr>
            <w:tcW w:w="1134" w:type="dxa"/>
            <w:vAlign w:val="center"/>
          </w:tcPr>
          <w:p w14:paraId="135DCE62">
            <w:pPr>
              <w:adjustRightInd w:val="0"/>
              <w:snapToGrid w:val="0"/>
              <w:jc w:val="center"/>
              <w:rPr>
                <w:rFonts w:ascii="仿宋" w:hAnsi="仿宋" w:eastAsia="仿宋" w:cs="宋体"/>
                <w:color w:val="auto"/>
                <w:szCs w:val="21"/>
              </w:rPr>
            </w:pPr>
          </w:p>
        </w:tc>
        <w:tc>
          <w:tcPr>
            <w:tcW w:w="905" w:type="dxa"/>
            <w:vAlign w:val="center"/>
          </w:tcPr>
          <w:p w14:paraId="249F3771">
            <w:pPr>
              <w:adjustRightInd w:val="0"/>
              <w:snapToGrid w:val="0"/>
              <w:jc w:val="center"/>
              <w:rPr>
                <w:rFonts w:ascii="仿宋" w:hAnsi="仿宋" w:eastAsia="仿宋" w:cs="宋体"/>
                <w:color w:val="auto"/>
                <w:szCs w:val="21"/>
              </w:rPr>
            </w:pPr>
          </w:p>
        </w:tc>
      </w:tr>
      <w:tr w14:paraId="6F25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dxa"/>
            <w:vAlign w:val="center"/>
          </w:tcPr>
          <w:p w14:paraId="7BE26D10">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w:t>
            </w:r>
          </w:p>
        </w:tc>
        <w:tc>
          <w:tcPr>
            <w:tcW w:w="1701" w:type="dxa"/>
            <w:vAlign w:val="center"/>
          </w:tcPr>
          <w:p w14:paraId="6EF9FF98">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w:t>
            </w:r>
          </w:p>
        </w:tc>
        <w:tc>
          <w:tcPr>
            <w:tcW w:w="2126" w:type="dxa"/>
            <w:vAlign w:val="center"/>
          </w:tcPr>
          <w:p w14:paraId="40A67052">
            <w:pPr>
              <w:adjustRightInd w:val="0"/>
              <w:snapToGrid w:val="0"/>
              <w:jc w:val="center"/>
              <w:rPr>
                <w:rFonts w:ascii="仿宋" w:hAnsi="仿宋" w:eastAsia="仿宋" w:cs="宋体"/>
                <w:color w:val="auto"/>
                <w:szCs w:val="21"/>
              </w:rPr>
            </w:pPr>
          </w:p>
        </w:tc>
        <w:tc>
          <w:tcPr>
            <w:tcW w:w="1276" w:type="dxa"/>
            <w:vAlign w:val="center"/>
          </w:tcPr>
          <w:p w14:paraId="1F8ED433">
            <w:pPr>
              <w:adjustRightInd w:val="0"/>
              <w:snapToGrid w:val="0"/>
              <w:jc w:val="center"/>
              <w:rPr>
                <w:rFonts w:ascii="仿宋" w:hAnsi="仿宋" w:eastAsia="仿宋" w:cs="宋体"/>
                <w:color w:val="auto"/>
                <w:szCs w:val="21"/>
              </w:rPr>
            </w:pPr>
          </w:p>
        </w:tc>
        <w:tc>
          <w:tcPr>
            <w:tcW w:w="850" w:type="dxa"/>
            <w:vAlign w:val="center"/>
          </w:tcPr>
          <w:p w14:paraId="04321ED5">
            <w:pPr>
              <w:adjustRightInd w:val="0"/>
              <w:snapToGrid w:val="0"/>
              <w:jc w:val="center"/>
              <w:rPr>
                <w:rFonts w:ascii="仿宋" w:hAnsi="仿宋" w:eastAsia="仿宋" w:cs="宋体"/>
                <w:color w:val="auto"/>
                <w:szCs w:val="21"/>
              </w:rPr>
            </w:pPr>
          </w:p>
        </w:tc>
        <w:tc>
          <w:tcPr>
            <w:tcW w:w="1134" w:type="dxa"/>
            <w:vAlign w:val="center"/>
          </w:tcPr>
          <w:p w14:paraId="6E77D42D">
            <w:pPr>
              <w:adjustRightInd w:val="0"/>
              <w:snapToGrid w:val="0"/>
              <w:jc w:val="center"/>
              <w:rPr>
                <w:rFonts w:ascii="仿宋" w:hAnsi="仿宋" w:eastAsia="仿宋" w:cs="宋体"/>
                <w:color w:val="auto"/>
                <w:szCs w:val="21"/>
              </w:rPr>
            </w:pPr>
          </w:p>
        </w:tc>
        <w:tc>
          <w:tcPr>
            <w:tcW w:w="1134" w:type="dxa"/>
            <w:vAlign w:val="center"/>
          </w:tcPr>
          <w:p w14:paraId="6EA4165E">
            <w:pPr>
              <w:adjustRightInd w:val="0"/>
              <w:snapToGrid w:val="0"/>
              <w:jc w:val="center"/>
              <w:rPr>
                <w:rFonts w:ascii="仿宋" w:hAnsi="仿宋" w:eastAsia="仿宋" w:cs="宋体"/>
                <w:color w:val="auto"/>
                <w:szCs w:val="21"/>
              </w:rPr>
            </w:pPr>
          </w:p>
        </w:tc>
        <w:tc>
          <w:tcPr>
            <w:tcW w:w="905" w:type="dxa"/>
            <w:vAlign w:val="center"/>
          </w:tcPr>
          <w:p w14:paraId="6236D670">
            <w:pPr>
              <w:adjustRightInd w:val="0"/>
              <w:snapToGrid w:val="0"/>
              <w:jc w:val="center"/>
              <w:rPr>
                <w:rFonts w:ascii="仿宋" w:hAnsi="仿宋" w:eastAsia="仿宋" w:cs="宋体"/>
                <w:color w:val="auto"/>
                <w:szCs w:val="21"/>
              </w:rPr>
            </w:pPr>
          </w:p>
        </w:tc>
      </w:tr>
      <w:tr w14:paraId="20DD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787" w:type="dxa"/>
            <w:gridSpan w:val="6"/>
            <w:vAlign w:val="center"/>
          </w:tcPr>
          <w:p w14:paraId="4D8F0335">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总计</w:t>
            </w:r>
          </w:p>
        </w:tc>
        <w:tc>
          <w:tcPr>
            <w:tcW w:w="1134" w:type="dxa"/>
            <w:vAlign w:val="center"/>
          </w:tcPr>
          <w:p w14:paraId="5D020294">
            <w:pPr>
              <w:adjustRightInd w:val="0"/>
              <w:snapToGrid w:val="0"/>
              <w:jc w:val="center"/>
              <w:rPr>
                <w:rFonts w:ascii="仿宋" w:hAnsi="仿宋" w:eastAsia="仿宋" w:cs="宋体"/>
                <w:color w:val="auto"/>
                <w:szCs w:val="21"/>
              </w:rPr>
            </w:pPr>
          </w:p>
        </w:tc>
        <w:tc>
          <w:tcPr>
            <w:tcW w:w="905" w:type="dxa"/>
            <w:vAlign w:val="center"/>
          </w:tcPr>
          <w:p w14:paraId="57C4919B">
            <w:pPr>
              <w:adjustRightInd w:val="0"/>
              <w:snapToGrid w:val="0"/>
              <w:jc w:val="center"/>
              <w:rPr>
                <w:rFonts w:ascii="仿宋" w:hAnsi="仿宋" w:eastAsia="仿宋" w:cs="宋体"/>
                <w:color w:val="auto"/>
                <w:szCs w:val="21"/>
              </w:rPr>
            </w:pPr>
          </w:p>
        </w:tc>
      </w:tr>
    </w:tbl>
    <w:p w14:paraId="1CC8161A">
      <w:pPr>
        <w:pStyle w:val="7"/>
        <w:rPr>
          <w:rFonts w:ascii="仿宋" w:hAnsi="仿宋" w:eastAsia="仿宋" w:cs="宋体"/>
          <w:color w:val="auto"/>
          <w:szCs w:val="21"/>
        </w:rPr>
      </w:pPr>
    </w:p>
    <w:p w14:paraId="0ADBB233">
      <w:pPr>
        <w:adjustRightInd w:val="0"/>
        <w:snapToGrid w:val="0"/>
        <w:rPr>
          <w:rFonts w:ascii="仿宋" w:hAnsi="仿宋" w:eastAsia="仿宋" w:cs="宋体"/>
          <w:color w:val="auto"/>
          <w:szCs w:val="21"/>
        </w:rPr>
      </w:pPr>
      <w:r>
        <w:rPr>
          <w:rFonts w:hint="eastAsia" w:ascii="仿宋" w:hAnsi="仿宋" w:eastAsia="仿宋" w:cs="宋体"/>
          <w:color w:val="auto"/>
          <w:szCs w:val="21"/>
        </w:rPr>
        <w:t>说明：</w:t>
      </w:r>
    </w:p>
    <w:p w14:paraId="68472FBF">
      <w:pPr>
        <w:numPr>
          <w:ilvl w:val="0"/>
          <w:numId w:val="36"/>
        </w:numPr>
        <w:adjustRightInd w:val="0"/>
        <w:snapToGrid w:val="0"/>
        <w:rPr>
          <w:rFonts w:ascii="仿宋" w:hAnsi="仿宋" w:eastAsia="仿宋" w:cs="宋体"/>
          <w:color w:val="auto"/>
          <w:szCs w:val="21"/>
        </w:rPr>
      </w:pPr>
      <w:r>
        <w:rPr>
          <w:rFonts w:hint="eastAsia" w:ascii="仿宋" w:hAnsi="仿宋" w:eastAsia="仿宋" w:cs="宋体"/>
          <w:color w:val="auto"/>
          <w:szCs w:val="21"/>
        </w:rPr>
        <w:t>注：此分项报价表清单应与技术需求一致。供应商的报价范围应包含全部采购内容，采购、安装、调试、验收、人员培训、售后服务、保险、税金、管理费和一定的风险费用等在内的全部费用。</w:t>
      </w:r>
    </w:p>
    <w:p w14:paraId="25BD521E">
      <w:pPr>
        <w:numPr>
          <w:ilvl w:val="0"/>
          <w:numId w:val="36"/>
        </w:numPr>
        <w:adjustRightInd w:val="0"/>
        <w:snapToGrid w:val="0"/>
        <w:rPr>
          <w:rFonts w:ascii="仿宋" w:hAnsi="仿宋" w:eastAsia="仿宋" w:cs="宋体"/>
          <w:color w:val="auto"/>
          <w:szCs w:val="21"/>
        </w:rPr>
      </w:pPr>
      <w:r>
        <w:rPr>
          <w:rFonts w:hint="eastAsia" w:ascii="仿宋" w:hAnsi="仿宋" w:eastAsia="仿宋" w:cs="宋体"/>
          <w:color w:val="auto"/>
          <w:szCs w:val="21"/>
        </w:rPr>
        <w:t>所有价格按照“供应商须知”要求执行。</w:t>
      </w:r>
    </w:p>
    <w:p w14:paraId="7654194B">
      <w:pPr>
        <w:numPr>
          <w:ilvl w:val="0"/>
          <w:numId w:val="36"/>
        </w:numPr>
        <w:adjustRightInd w:val="0"/>
        <w:snapToGrid w:val="0"/>
        <w:rPr>
          <w:rFonts w:ascii="仿宋" w:hAnsi="仿宋" w:eastAsia="仿宋" w:cs="宋体"/>
          <w:color w:val="auto"/>
          <w:szCs w:val="21"/>
        </w:rPr>
      </w:pPr>
      <w:r>
        <w:rPr>
          <w:rFonts w:hint="eastAsia" w:ascii="仿宋" w:hAnsi="仿宋" w:eastAsia="仿宋" w:cs="宋体"/>
          <w:color w:val="auto"/>
          <w:szCs w:val="21"/>
        </w:rPr>
        <w:t>分项报价总计价格必须与《报价一览表》报价一致。</w:t>
      </w:r>
    </w:p>
    <w:p w14:paraId="78E5C282">
      <w:pPr>
        <w:numPr>
          <w:ilvl w:val="0"/>
          <w:numId w:val="36"/>
        </w:numPr>
        <w:adjustRightInd w:val="0"/>
        <w:snapToGrid w:val="0"/>
        <w:rPr>
          <w:rFonts w:ascii="仿宋" w:hAnsi="仿宋" w:eastAsia="仿宋" w:cs="宋体"/>
          <w:color w:val="auto"/>
          <w:szCs w:val="21"/>
        </w:rPr>
      </w:pPr>
      <w:r>
        <w:rPr>
          <w:rFonts w:hint="eastAsia" w:ascii="仿宋" w:hAnsi="仿宋" w:eastAsia="仿宋" w:cs="宋体"/>
          <w:color w:val="auto"/>
          <w:szCs w:val="21"/>
        </w:rPr>
        <w:t>如果不提供详细的报价分项报价将被视为没有实质性响应谈判文件。</w:t>
      </w:r>
    </w:p>
    <w:p w14:paraId="408A669B">
      <w:pPr>
        <w:spacing w:line="360" w:lineRule="auto"/>
        <w:rPr>
          <w:rFonts w:ascii="仿宋" w:hAnsi="仿宋" w:eastAsia="仿宋" w:cs="宋体"/>
          <w:color w:val="auto"/>
          <w:szCs w:val="21"/>
        </w:rPr>
      </w:pPr>
    </w:p>
    <w:p w14:paraId="6BB4A52A">
      <w:pPr>
        <w:spacing w:line="360" w:lineRule="auto"/>
        <w:rPr>
          <w:rFonts w:ascii="仿宋" w:hAnsi="仿宋" w:eastAsia="仿宋" w:cs="宋体"/>
          <w:color w:val="auto"/>
          <w:szCs w:val="21"/>
        </w:rPr>
      </w:pPr>
      <w:r>
        <w:rPr>
          <w:rFonts w:hint="eastAsia" w:ascii="仿宋" w:hAnsi="仿宋" w:eastAsia="仿宋" w:cs="宋体"/>
          <w:color w:val="auto"/>
          <w:szCs w:val="21"/>
        </w:rPr>
        <w:t>磋商供应商法定代表人或授权代表签字：</w:t>
      </w:r>
    </w:p>
    <w:p w14:paraId="4B23EDB4">
      <w:pPr>
        <w:spacing w:line="360" w:lineRule="auto"/>
        <w:rPr>
          <w:rFonts w:ascii="仿宋" w:hAnsi="仿宋" w:eastAsia="仿宋" w:cs="宋体"/>
          <w:color w:val="auto"/>
          <w:szCs w:val="21"/>
          <w:u w:val="single"/>
        </w:rPr>
      </w:pPr>
      <w:r>
        <w:rPr>
          <w:rFonts w:hint="eastAsia" w:ascii="仿宋" w:hAnsi="仿宋" w:eastAsia="仿宋" w:cs="宋体"/>
          <w:color w:val="auto"/>
          <w:szCs w:val="21"/>
        </w:rPr>
        <w:t>磋商供应商名称（签章）：</w:t>
      </w:r>
    </w:p>
    <w:p w14:paraId="2157AA90">
      <w:pPr>
        <w:spacing w:line="360" w:lineRule="auto"/>
        <w:rPr>
          <w:rFonts w:ascii="仿宋" w:hAnsi="仿宋" w:eastAsia="仿宋" w:cs="宋体"/>
          <w:color w:val="auto"/>
          <w:szCs w:val="21"/>
        </w:rPr>
      </w:pPr>
      <w:r>
        <w:rPr>
          <w:rFonts w:hint="eastAsia" w:ascii="仿宋" w:hAnsi="仿宋" w:eastAsia="仿宋" w:cs="宋体"/>
          <w:color w:val="auto"/>
          <w:szCs w:val="21"/>
        </w:rPr>
        <w:t>时                 间：年月日</w:t>
      </w:r>
    </w:p>
    <w:p w14:paraId="37F33E35">
      <w:pPr>
        <w:widowControl/>
        <w:jc w:val="left"/>
        <w:rPr>
          <w:rFonts w:ascii="仿宋" w:hAnsi="仿宋" w:eastAsia="仿宋" w:cs="宋体"/>
          <w:b/>
          <w:bCs/>
          <w:color w:val="auto"/>
          <w:sz w:val="24"/>
        </w:rPr>
      </w:pPr>
      <w:bookmarkStart w:id="263" w:name="_Toc508294673"/>
      <w:bookmarkStart w:id="264" w:name="_Toc494528989"/>
      <w:r>
        <w:rPr>
          <w:rFonts w:ascii="仿宋" w:hAnsi="仿宋" w:eastAsia="仿宋" w:cs="宋体"/>
          <w:b/>
          <w:bCs/>
          <w:color w:val="auto"/>
          <w:sz w:val="24"/>
        </w:rPr>
        <w:br w:type="page"/>
      </w:r>
    </w:p>
    <w:p w14:paraId="5B809629">
      <w:pPr>
        <w:rPr>
          <w:rFonts w:ascii="仿宋" w:hAnsi="仿宋" w:eastAsia="仿宋" w:cs="宋体"/>
          <w:b/>
          <w:bCs/>
          <w:color w:val="auto"/>
          <w:sz w:val="24"/>
        </w:rPr>
      </w:pPr>
    </w:p>
    <w:p w14:paraId="765FF795">
      <w:pPr>
        <w:numPr>
          <w:ilvl w:val="4"/>
          <w:numId w:val="31"/>
        </w:numPr>
        <w:tabs>
          <w:tab w:val="left" w:pos="540"/>
        </w:tabs>
        <w:autoSpaceDE w:val="0"/>
        <w:autoSpaceDN w:val="0"/>
        <w:adjustRightInd w:val="0"/>
        <w:ind w:left="540" w:hanging="540"/>
        <w:outlineLvl w:val="1"/>
        <w:rPr>
          <w:rFonts w:ascii="仿宋" w:hAnsi="仿宋" w:eastAsia="仿宋" w:cs="宋体"/>
          <w:b/>
          <w:bCs/>
          <w:color w:val="auto"/>
          <w:sz w:val="24"/>
        </w:rPr>
      </w:pPr>
      <w:bookmarkStart w:id="265" w:name="_Toc20406"/>
      <w:bookmarkStart w:id="266" w:name="_Toc23400"/>
      <w:bookmarkStart w:id="267" w:name="_Toc149035960"/>
      <w:r>
        <w:rPr>
          <w:rFonts w:hint="eastAsia" w:ascii="仿宋" w:hAnsi="仿宋" w:eastAsia="仿宋" w:cs="宋体"/>
          <w:b/>
          <w:bCs/>
          <w:color w:val="auto"/>
          <w:sz w:val="24"/>
        </w:rPr>
        <w:t>响应范围以外的备品备件∕服务报价表</w:t>
      </w:r>
      <w:bookmarkEnd w:id="263"/>
      <w:bookmarkEnd w:id="264"/>
      <w:bookmarkEnd w:id="265"/>
      <w:bookmarkEnd w:id="266"/>
      <w:bookmarkEnd w:id="267"/>
    </w:p>
    <w:p w14:paraId="2262064D">
      <w:pPr>
        <w:adjustRightInd w:val="0"/>
        <w:snapToGrid w:val="0"/>
        <w:spacing w:line="360" w:lineRule="auto"/>
        <w:rPr>
          <w:rFonts w:ascii="仿宋" w:hAnsi="仿宋" w:eastAsia="仿宋" w:cs="宋体"/>
          <w:color w:val="auto"/>
          <w:szCs w:val="21"/>
          <w:u w:val="single"/>
        </w:rPr>
      </w:pPr>
      <w:r>
        <w:rPr>
          <w:rFonts w:hint="eastAsia" w:ascii="仿宋" w:hAnsi="仿宋" w:eastAsia="仿宋" w:cs="宋体"/>
          <w:color w:val="auto"/>
          <w:szCs w:val="21"/>
        </w:rPr>
        <w:t>项目名称：</w:t>
      </w:r>
    </w:p>
    <w:p w14:paraId="178B7ECA">
      <w:pPr>
        <w:adjustRightInd w:val="0"/>
        <w:snapToGrid w:val="0"/>
        <w:spacing w:line="360" w:lineRule="auto"/>
        <w:rPr>
          <w:rFonts w:ascii="仿宋" w:hAnsi="仿宋" w:eastAsia="仿宋" w:cs="宋体"/>
          <w:color w:val="auto"/>
          <w:szCs w:val="21"/>
        </w:rPr>
      </w:pPr>
      <w:r>
        <w:rPr>
          <w:rFonts w:hint="eastAsia" w:ascii="仿宋" w:hAnsi="仿宋" w:eastAsia="仿宋" w:cs="宋体"/>
          <w:color w:val="auto"/>
          <w:szCs w:val="21"/>
        </w:rPr>
        <w:t>项目编号：</w:t>
      </w:r>
    </w:p>
    <w:tbl>
      <w:tblPr>
        <w:tblStyle w:val="20"/>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978"/>
        <w:gridCol w:w="4552"/>
        <w:gridCol w:w="947"/>
        <w:gridCol w:w="856"/>
        <w:gridCol w:w="870"/>
        <w:gridCol w:w="868"/>
      </w:tblGrid>
      <w:tr w14:paraId="09D639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7BF0904D">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序号</w:t>
            </w:r>
          </w:p>
        </w:tc>
        <w:tc>
          <w:tcPr>
            <w:tcW w:w="4552" w:type="dxa"/>
            <w:vAlign w:val="center"/>
          </w:tcPr>
          <w:p w14:paraId="1D4960C1">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名称</w:t>
            </w:r>
          </w:p>
        </w:tc>
        <w:tc>
          <w:tcPr>
            <w:tcW w:w="947" w:type="dxa"/>
            <w:vAlign w:val="center"/>
          </w:tcPr>
          <w:p w14:paraId="1502CEFA">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数量</w:t>
            </w:r>
          </w:p>
        </w:tc>
        <w:tc>
          <w:tcPr>
            <w:tcW w:w="856" w:type="dxa"/>
            <w:vAlign w:val="center"/>
          </w:tcPr>
          <w:p w14:paraId="5BB84639">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单价</w:t>
            </w:r>
          </w:p>
        </w:tc>
        <w:tc>
          <w:tcPr>
            <w:tcW w:w="870" w:type="dxa"/>
            <w:vAlign w:val="center"/>
          </w:tcPr>
          <w:p w14:paraId="6D973A41">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总价</w:t>
            </w:r>
          </w:p>
        </w:tc>
        <w:tc>
          <w:tcPr>
            <w:tcW w:w="868" w:type="dxa"/>
            <w:vAlign w:val="center"/>
          </w:tcPr>
          <w:p w14:paraId="0CEBE3F6">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备注</w:t>
            </w:r>
          </w:p>
        </w:tc>
      </w:tr>
      <w:tr w14:paraId="60ACAF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2E3E628E">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1</w:t>
            </w:r>
          </w:p>
        </w:tc>
        <w:tc>
          <w:tcPr>
            <w:tcW w:w="4552" w:type="dxa"/>
            <w:vAlign w:val="center"/>
          </w:tcPr>
          <w:p w14:paraId="47FD5FEF">
            <w:pPr>
              <w:adjustRightInd w:val="0"/>
              <w:snapToGrid w:val="0"/>
              <w:jc w:val="center"/>
              <w:rPr>
                <w:rFonts w:ascii="仿宋" w:hAnsi="仿宋" w:eastAsia="仿宋" w:cs="宋体"/>
                <w:color w:val="auto"/>
                <w:szCs w:val="21"/>
              </w:rPr>
            </w:pPr>
          </w:p>
        </w:tc>
        <w:tc>
          <w:tcPr>
            <w:tcW w:w="947" w:type="dxa"/>
            <w:vAlign w:val="center"/>
          </w:tcPr>
          <w:p w14:paraId="45122493">
            <w:pPr>
              <w:adjustRightInd w:val="0"/>
              <w:snapToGrid w:val="0"/>
              <w:jc w:val="center"/>
              <w:rPr>
                <w:rFonts w:ascii="仿宋" w:hAnsi="仿宋" w:eastAsia="仿宋" w:cs="宋体"/>
                <w:color w:val="auto"/>
                <w:szCs w:val="21"/>
              </w:rPr>
            </w:pPr>
          </w:p>
        </w:tc>
        <w:tc>
          <w:tcPr>
            <w:tcW w:w="856" w:type="dxa"/>
            <w:vAlign w:val="center"/>
          </w:tcPr>
          <w:p w14:paraId="3B0468E9">
            <w:pPr>
              <w:adjustRightInd w:val="0"/>
              <w:snapToGrid w:val="0"/>
              <w:jc w:val="center"/>
              <w:rPr>
                <w:rFonts w:ascii="仿宋" w:hAnsi="仿宋" w:eastAsia="仿宋" w:cs="宋体"/>
                <w:color w:val="auto"/>
                <w:szCs w:val="21"/>
              </w:rPr>
            </w:pPr>
          </w:p>
        </w:tc>
        <w:tc>
          <w:tcPr>
            <w:tcW w:w="870" w:type="dxa"/>
            <w:vAlign w:val="center"/>
          </w:tcPr>
          <w:p w14:paraId="0E4A8E5E">
            <w:pPr>
              <w:adjustRightInd w:val="0"/>
              <w:snapToGrid w:val="0"/>
              <w:jc w:val="center"/>
              <w:rPr>
                <w:rFonts w:ascii="仿宋" w:hAnsi="仿宋" w:eastAsia="仿宋" w:cs="宋体"/>
                <w:color w:val="auto"/>
                <w:szCs w:val="21"/>
              </w:rPr>
            </w:pPr>
          </w:p>
        </w:tc>
        <w:tc>
          <w:tcPr>
            <w:tcW w:w="868" w:type="dxa"/>
            <w:vAlign w:val="center"/>
          </w:tcPr>
          <w:p w14:paraId="446C5C91">
            <w:pPr>
              <w:adjustRightInd w:val="0"/>
              <w:snapToGrid w:val="0"/>
              <w:jc w:val="center"/>
              <w:rPr>
                <w:rFonts w:ascii="仿宋" w:hAnsi="仿宋" w:eastAsia="仿宋" w:cs="宋体"/>
                <w:color w:val="auto"/>
                <w:szCs w:val="21"/>
              </w:rPr>
            </w:pPr>
          </w:p>
        </w:tc>
      </w:tr>
      <w:tr w14:paraId="71AC9E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58E3AB57">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2</w:t>
            </w:r>
          </w:p>
        </w:tc>
        <w:tc>
          <w:tcPr>
            <w:tcW w:w="4552" w:type="dxa"/>
            <w:vAlign w:val="center"/>
          </w:tcPr>
          <w:p w14:paraId="3D26A7DC">
            <w:pPr>
              <w:adjustRightInd w:val="0"/>
              <w:snapToGrid w:val="0"/>
              <w:jc w:val="center"/>
              <w:rPr>
                <w:rFonts w:ascii="仿宋" w:hAnsi="仿宋" w:eastAsia="仿宋" w:cs="宋体"/>
                <w:color w:val="auto"/>
                <w:szCs w:val="21"/>
              </w:rPr>
            </w:pPr>
          </w:p>
        </w:tc>
        <w:tc>
          <w:tcPr>
            <w:tcW w:w="947" w:type="dxa"/>
            <w:vAlign w:val="center"/>
          </w:tcPr>
          <w:p w14:paraId="7A735644">
            <w:pPr>
              <w:adjustRightInd w:val="0"/>
              <w:snapToGrid w:val="0"/>
              <w:jc w:val="center"/>
              <w:rPr>
                <w:rFonts w:ascii="仿宋" w:hAnsi="仿宋" w:eastAsia="仿宋" w:cs="宋体"/>
                <w:color w:val="auto"/>
                <w:szCs w:val="21"/>
              </w:rPr>
            </w:pPr>
          </w:p>
        </w:tc>
        <w:tc>
          <w:tcPr>
            <w:tcW w:w="856" w:type="dxa"/>
            <w:vAlign w:val="center"/>
          </w:tcPr>
          <w:p w14:paraId="6B70A6B9">
            <w:pPr>
              <w:adjustRightInd w:val="0"/>
              <w:snapToGrid w:val="0"/>
              <w:jc w:val="center"/>
              <w:rPr>
                <w:rFonts w:ascii="仿宋" w:hAnsi="仿宋" w:eastAsia="仿宋" w:cs="宋体"/>
                <w:color w:val="auto"/>
                <w:szCs w:val="21"/>
              </w:rPr>
            </w:pPr>
          </w:p>
        </w:tc>
        <w:tc>
          <w:tcPr>
            <w:tcW w:w="870" w:type="dxa"/>
            <w:vAlign w:val="center"/>
          </w:tcPr>
          <w:p w14:paraId="0CA16E3B">
            <w:pPr>
              <w:adjustRightInd w:val="0"/>
              <w:snapToGrid w:val="0"/>
              <w:jc w:val="center"/>
              <w:rPr>
                <w:rFonts w:ascii="仿宋" w:hAnsi="仿宋" w:eastAsia="仿宋" w:cs="宋体"/>
                <w:color w:val="auto"/>
                <w:szCs w:val="21"/>
              </w:rPr>
            </w:pPr>
          </w:p>
        </w:tc>
        <w:tc>
          <w:tcPr>
            <w:tcW w:w="868" w:type="dxa"/>
            <w:vAlign w:val="center"/>
          </w:tcPr>
          <w:p w14:paraId="56170FD5">
            <w:pPr>
              <w:adjustRightInd w:val="0"/>
              <w:snapToGrid w:val="0"/>
              <w:jc w:val="center"/>
              <w:rPr>
                <w:rFonts w:ascii="仿宋" w:hAnsi="仿宋" w:eastAsia="仿宋" w:cs="宋体"/>
                <w:color w:val="auto"/>
                <w:szCs w:val="21"/>
              </w:rPr>
            </w:pPr>
          </w:p>
        </w:tc>
      </w:tr>
      <w:tr w14:paraId="473FF5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68EAF2AF">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3</w:t>
            </w:r>
          </w:p>
        </w:tc>
        <w:tc>
          <w:tcPr>
            <w:tcW w:w="4552" w:type="dxa"/>
            <w:vAlign w:val="center"/>
          </w:tcPr>
          <w:p w14:paraId="5CFB85E6">
            <w:pPr>
              <w:adjustRightInd w:val="0"/>
              <w:snapToGrid w:val="0"/>
              <w:jc w:val="center"/>
              <w:rPr>
                <w:rFonts w:ascii="仿宋" w:hAnsi="仿宋" w:eastAsia="仿宋" w:cs="宋体"/>
                <w:color w:val="auto"/>
                <w:szCs w:val="21"/>
              </w:rPr>
            </w:pPr>
          </w:p>
        </w:tc>
        <w:tc>
          <w:tcPr>
            <w:tcW w:w="947" w:type="dxa"/>
            <w:vAlign w:val="center"/>
          </w:tcPr>
          <w:p w14:paraId="76575BA9">
            <w:pPr>
              <w:adjustRightInd w:val="0"/>
              <w:snapToGrid w:val="0"/>
              <w:jc w:val="center"/>
              <w:rPr>
                <w:rFonts w:ascii="仿宋" w:hAnsi="仿宋" w:eastAsia="仿宋" w:cs="宋体"/>
                <w:color w:val="auto"/>
                <w:szCs w:val="21"/>
              </w:rPr>
            </w:pPr>
          </w:p>
        </w:tc>
        <w:tc>
          <w:tcPr>
            <w:tcW w:w="856" w:type="dxa"/>
            <w:vAlign w:val="center"/>
          </w:tcPr>
          <w:p w14:paraId="2ECF9628">
            <w:pPr>
              <w:adjustRightInd w:val="0"/>
              <w:snapToGrid w:val="0"/>
              <w:jc w:val="center"/>
              <w:rPr>
                <w:rFonts w:ascii="仿宋" w:hAnsi="仿宋" w:eastAsia="仿宋" w:cs="宋体"/>
                <w:color w:val="auto"/>
                <w:szCs w:val="21"/>
              </w:rPr>
            </w:pPr>
          </w:p>
        </w:tc>
        <w:tc>
          <w:tcPr>
            <w:tcW w:w="870" w:type="dxa"/>
            <w:vAlign w:val="center"/>
          </w:tcPr>
          <w:p w14:paraId="38CB46C2">
            <w:pPr>
              <w:adjustRightInd w:val="0"/>
              <w:snapToGrid w:val="0"/>
              <w:jc w:val="center"/>
              <w:rPr>
                <w:rFonts w:ascii="仿宋" w:hAnsi="仿宋" w:eastAsia="仿宋" w:cs="宋体"/>
                <w:color w:val="auto"/>
                <w:szCs w:val="21"/>
              </w:rPr>
            </w:pPr>
          </w:p>
        </w:tc>
        <w:tc>
          <w:tcPr>
            <w:tcW w:w="868" w:type="dxa"/>
            <w:vAlign w:val="center"/>
          </w:tcPr>
          <w:p w14:paraId="2086F3D1">
            <w:pPr>
              <w:adjustRightInd w:val="0"/>
              <w:snapToGrid w:val="0"/>
              <w:jc w:val="center"/>
              <w:rPr>
                <w:rFonts w:ascii="仿宋" w:hAnsi="仿宋" w:eastAsia="仿宋" w:cs="宋体"/>
                <w:color w:val="auto"/>
                <w:szCs w:val="21"/>
              </w:rPr>
            </w:pPr>
          </w:p>
        </w:tc>
      </w:tr>
      <w:tr w14:paraId="33A296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19B0357A">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4</w:t>
            </w:r>
          </w:p>
        </w:tc>
        <w:tc>
          <w:tcPr>
            <w:tcW w:w="4552" w:type="dxa"/>
            <w:vAlign w:val="center"/>
          </w:tcPr>
          <w:p w14:paraId="105A2648">
            <w:pPr>
              <w:adjustRightInd w:val="0"/>
              <w:snapToGrid w:val="0"/>
              <w:jc w:val="center"/>
              <w:rPr>
                <w:rFonts w:ascii="仿宋" w:hAnsi="仿宋" w:eastAsia="仿宋" w:cs="宋体"/>
                <w:color w:val="auto"/>
                <w:szCs w:val="21"/>
              </w:rPr>
            </w:pPr>
          </w:p>
        </w:tc>
        <w:tc>
          <w:tcPr>
            <w:tcW w:w="947" w:type="dxa"/>
            <w:vAlign w:val="center"/>
          </w:tcPr>
          <w:p w14:paraId="144195B4">
            <w:pPr>
              <w:adjustRightInd w:val="0"/>
              <w:snapToGrid w:val="0"/>
              <w:jc w:val="center"/>
              <w:rPr>
                <w:rFonts w:ascii="仿宋" w:hAnsi="仿宋" w:eastAsia="仿宋" w:cs="宋体"/>
                <w:color w:val="auto"/>
                <w:szCs w:val="21"/>
              </w:rPr>
            </w:pPr>
          </w:p>
        </w:tc>
        <w:tc>
          <w:tcPr>
            <w:tcW w:w="856" w:type="dxa"/>
            <w:vAlign w:val="center"/>
          </w:tcPr>
          <w:p w14:paraId="480491D6">
            <w:pPr>
              <w:adjustRightInd w:val="0"/>
              <w:snapToGrid w:val="0"/>
              <w:jc w:val="center"/>
              <w:rPr>
                <w:rFonts w:ascii="仿宋" w:hAnsi="仿宋" w:eastAsia="仿宋" w:cs="宋体"/>
                <w:color w:val="auto"/>
                <w:szCs w:val="21"/>
              </w:rPr>
            </w:pPr>
          </w:p>
        </w:tc>
        <w:tc>
          <w:tcPr>
            <w:tcW w:w="870" w:type="dxa"/>
            <w:vAlign w:val="center"/>
          </w:tcPr>
          <w:p w14:paraId="6E08C4DE">
            <w:pPr>
              <w:adjustRightInd w:val="0"/>
              <w:snapToGrid w:val="0"/>
              <w:jc w:val="center"/>
              <w:rPr>
                <w:rFonts w:ascii="仿宋" w:hAnsi="仿宋" w:eastAsia="仿宋" w:cs="宋体"/>
                <w:color w:val="auto"/>
                <w:szCs w:val="21"/>
              </w:rPr>
            </w:pPr>
          </w:p>
        </w:tc>
        <w:tc>
          <w:tcPr>
            <w:tcW w:w="868" w:type="dxa"/>
            <w:vAlign w:val="center"/>
          </w:tcPr>
          <w:p w14:paraId="337E862E">
            <w:pPr>
              <w:adjustRightInd w:val="0"/>
              <w:snapToGrid w:val="0"/>
              <w:jc w:val="center"/>
              <w:rPr>
                <w:rFonts w:ascii="仿宋" w:hAnsi="仿宋" w:eastAsia="仿宋" w:cs="宋体"/>
                <w:color w:val="auto"/>
                <w:szCs w:val="21"/>
              </w:rPr>
            </w:pPr>
          </w:p>
        </w:tc>
      </w:tr>
      <w:tr w14:paraId="4B5DBB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09693587">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5</w:t>
            </w:r>
          </w:p>
        </w:tc>
        <w:tc>
          <w:tcPr>
            <w:tcW w:w="4552" w:type="dxa"/>
            <w:vAlign w:val="center"/>
          </w:tcPr>
          <w:p w14:paraId="4FC52E0E">
            <w:pPr>
              <w:adjustRightInd w:val="0"/>
              <w:snapToGrid w:val="0"/>
              <w:jc w:val="center"/>
              <w:rPr>
                <w:rFonts w:ascii="仿宋" w:hAnsi="仿宋" w:eastAsia="仿宋" w:cs="宋体"/>
                <w:color w:val="auto"/>
                <w:szCs w:val="21"/>
              </w:rPr>
            </w:pPr>
          </w:p>
        </w:tc>
        <w:tc>
          <w:tcPr>
            <w:tcW w:w="947" w:type="dxa"/>
            <w:vAlign w:val="center"/>
          </w:tcPr>
          <w:p w14:paraId="62A98330">
            <w:pPr>
              <w:adjustRightInd w:val="0"/>
              <w:snapToGrid w:val="0"/>
              <w:jc w:val="center"/>
              <w:rPr>
                <w:rFonts w:ascii="仿宋" w:hAnsi="仿宋" w:eastAsia="仿宋" w:cs="宋体"/>
                <w:color w:val="auto"/>
                <w:szCs w:val="21"/>
              </w:rPr>
            </w:pPr>
          </w:p>
        </w:tc>
        <w:tc>
          <w:tcPr>
            <w:tcW w:w="856" w:type="dxa"/>
            <w:vAlign w:val="center"/>
          </w:tcPr>
          <w:p w14:paraId="7530B514">
            <w:pPr>
              <w:adjustRightInd w:val="0"/>
              <w:snapToGrid w:val="0"/>
              <w:jc w:val="center"/>
              <w:rPr>
                <w:rFonts w:ascii="仿宋" w:hAnsi="仿宋" w:eastAsia="仿宋" w:cs="宋体"/>
                <w:color w:val="auto"/>
                <w:szCs w:val="21"/>
              </w:rPr>
            </w:pPr>
          </w:p>
        </w:tc>
        <w:tc>
          <w:tcPr>
            <w:tcW w:w="870" w:type="dxa"/>
            <w:vAlign w:val="center"/>
          </w:tcPr>
          <w:p w14:paraId="4CA6366D">
            <w:pPr>
              <w:adjustRightInd w:val="0"/>
              <w:snapToGrid w:val="0"/>
              <w:jc w:val="center"/>
              <w:rPr>
                <w:rFonts w:ascii="仿宋" w:hAnsi="仿宋" w:eastAsia="仿宋" w:cs="宋体"/>
                <w:color w:val="auto"/>
                <w:szCs w:val="21"/>
              </w:rPr>
            </w:pPr>
          </w:p>
        </w:tc>
        <w:tc>
          <w:tcPr>
            <w:tcW w:w="868" w:type="dxa"/>
            <w:vAlign w:val="center"/>
          </w:tcPr>
          <w:p w14:paraId="0C0C4DF0">
            <w:pPr>
              <w:adjustRightInd w:val="0"/>
              <w:snapToGrid w:val="0"/>
              <w:jc w:val="center"/>
              <w:rPr>
                <w:rFonts w:ascii="仿宋" w:hAnsi="仿宋" w:eastAsia="仿宋" w:cs="宋体"/>
                <w:color w:val="auto"/>
                <w:szCs w:val="21"/>
              </w:rPr>
            </w:pPr>
          </w:p>
        </w:tc>
      </w:tr>
      <w:tr w14:paraId="38588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12A13D29">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6</w:t>
            </w:r>
          </w:p>
        </w:tc>
        <w:tc>
          <w:tcPr>
            <w:tcW w:w="4552" w:type="dxa"/>
            <w:vAlign w:val="center"/>
          </w:tcPr>
          <w:p w14:paraId="239B7499">
            <w:pPr>
              <w:adjustRightInd w:val="0"/>
              <w:snapToGrid w:val="0"/>
              <w:jc w:val="center"/>
              <w:rPr>
                <w:rFonts w:ascii="仿宋" w:hAnsi="仿宋" w:eastAsia="仿宋" w:cs="宋体"/>
                <w:color w:val="auto"/>
                <w:szCs w:val="21"/>
              </w:rPr>
            </w:pPr>
          </w:p>
        </w:tc>
        <w:tc>
          <w:tcPr>
            <w:tcW w:w="947" w:type="dxa"/>
            <w:vAlign w:val="center"/>
          </w:tcPr>
          <w:p w14:paraId="54BB5E81">
            <w:pPr>
              <w:adjustRightInd w:val="0"/>
              <w:snapToGrid w:val="0"/>
              <w:jc w:val="center"/>
              <w:rPr>
                <w:rFonts w:ascii="仿宋" w:hAnsi="仿宋" w:eastAsia="仿宋" w:cs="宋体"/>
                <w:color w:val="auto"/>
                <w:szCs w:val="21"/>
              </w:rPr>
            </w:pPr>
          </w:p>
        </w:tc>
        <w:tc>
          <w:tcPr>
            <w:tcW w:w="856" w:type="dxa"/>
            <w:vAlign w:val="center"/>
          </w:tcPr>
          <w:p w14:paraId="60673BCA">
            <w:pPr>
              <w:adjustRightInd w:val="0"/>
              <w:snapToGrid w:val="0"/>
              <w:jc w:val="center"/>
              <w:rPr>
                <w:rFonts w:ascii="仿宋" w:hAnsi="仿宋" w:eastAsia="仿宋" w:cs="宋体"/>
                <w:color w:val="auto"/>
                <w:szCs w:val="21"/>
              </w:rPr>
            </w:pPr>
          </w:p>
        </w:tc>
        <w:tc>
          <w:tcPr>
            <w:tcW w:w="870" w:type="dxa"/>
            <w:vAlign w:val="center"/>
          </w:tcPr>
          <w:p w14:paraId="54527917">
            <w:pPr>
              <w:adjustRightInd w:val="0"/>
              <w:snapToGrid w:val="0"/>
              <w:jc w:val="center"/>
              <w:rPr>
                <w:rFonts w:ascii="仿宋" w:hAnsi="仿宋" w:eastAsia="仿宋" w:cs="宋体"/>
                <w:color w:val="auto"/>
                <w:szCs w:val="21"/>
              </w:rPr>
            </w:pPr>
          </w:p>
        </w:tc>
        <w:tc>
          <w:tcPr>
            <w:tcW w:w="868" w:type="dxa"/>
            <w:vAlign w:val="center"/>
          </w:tcPr>
          <w:p w14:paraId="28A571CE">
            <w:pPr>
              <w:adjustRightInd w:val="0"/>
              <w:snapToGrid w:val="0"/>
              <w:jc w:val="center"/>
              <w:rPr>
                <w:rFonts w:ascii="仿宋" w:hAnsi="仿宋" w:eastAsia="仿宋" w:cs="宋体"/>
                <w:color w:val="auto"/>
                <w:szCs w:val="21"/>
              </w:rPr>
            </w:pPr>
          </w:p>
        </w:tc>
      </w:tr>
      <w:tr w14:paraId="5DBB6D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20AD391E">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7</w:t>
            </w:r>
          </w:p>
        </w:tc>
        <w:tc>
          <w:tcPr>
            <w:tcW w:w="4552" w:type="dxa"/>
            <w:vAlign w:val="center"/>
          </w:tcPr>
          <w:p w14:paraId="729DEB65">
            <w:pPr>
              <w:adjustRightInd w:val="0"/>
              <w:snapToGrid w:val="0"/>
              <w:jc w:val="center"/>
              <w:rPr>
                <w:rFonts w:ascii="仿宋" w:hAnsi="仿宋" w:eastAsia="仿宋" w:cs="宋体"/>
                <w:color w:val="auto"/>
                <w:szCs w:val="21"/>
              </w:rPr>
            </w:pPr>
          </w:p>
        </w:tc>
        <w:tc>
          <w:tcPr>
            <w:tcW w:w="947" w:type="dxa"/>
            <w:vAlign w:val="center"/>
          </w:tcPr>
          <w:p w14:paraId="2C638EC7">
            <w:pPr>
              <w:adjustRightInd w:val="0"/>
              <w:snapToGrid w:val="0"/>
              <w:jc w:val="center"/>
              <w:rPr>
                <w:rFonts w:ascii="仿宋" w:hAnsi="仿宋" w:eastAsia="仿宋" w:cs="宋体"/>
                <w:color w:val="auto"/>
                <w:szCs w:val="21"/>
              </w:rPr>
            </w:pPr>
          </w:p>
        </w:tc>
        <w:tc>
          <w:tcPr>
            <w:tcW w:w="856" w:type="dxa"/>
            <w:vAlign w:val="center"/>
          </w:tcPr>
          <w:p w14:paraId="5D78FDC1">
            <w:pPr>
              <w:adjustRightInd w:val="0"/>
              <w:snapToGrid w:val="0"/>
              <w:jc w:val="center"/>
              <w:rPr>
                <w:rFonts w:ascii="仿宋" w:hAnsi="仿宋" w:eastAsia="仿宋" w:cs="宋体"/>
                <w:color w:val="auto"/>
                <w:szCs w:val="21"/>
              </w:rPr>
            </w:pPr>
          </w:p>
        </w:tc>
        <w:tc>
          <w:tcPr>
            <w:tcW w:w="870" w:type="dxa"/>
            <w:vAlign w:val="center"/>
          </w:tcPr>
          <w:p w14:paraId="0D05D1F1">
            <w:pPr>
              <w:adjustRightInd w:val="0"/>
              <w:snapToGrid w:val="0"/>
              <w:jc w:val="center"/>
              <w:rPr>
                <w:rFonts w:ascii="仿宋" w:hAnsi="仿宋" w:eastAsia="仿宋" w:cs="宋体"/>
                <w:color w:val="auto"/>
                <w:szCs w:val="21"/>
              </w:rPr>
            </w:pPr>
          </w:p>
        </w:tc>
        <w:tc>
          <w:tcPr>
            <w:tcW w:w="868" w:type="dxa"/>
            <w:vAlign w:val="center"/>
          </w:tcPr>
          <w:p w14:paraId="0E26206B">
            <w:pPr>
              <w:adjustRightInd w:val="0"/>
              <w:snapToGrid w:val="0"/>
              <w:jc w:val="center"/>
              <w:rPr>
                <w:rFonts w:ascii="仿宋" w:hAnsi="仿宋" w:eastAsia="仿宋" w:cs="宋体"/>
                <w:color w:val="auto"/>
                <w:szCs w:val="21"/>
              </w:rPr>
            </w:pPr>
          </w:p>
        </w:tc>
      </w:tr>
      <w:tr w14:paraId="05923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978" w:type="dxa"/>
            <w:vAlign w:val="center"/>
          </w:tcPr>
          <w:p w14:paraId="3B348999">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w:t>
            </w:r>
          </w:p>
        </w:tc>
        <w:tc>
          <w:tcPr>
            <w:tcW w:w="4552" w:type="dxa"/>
            <w:vAlign w:val="center"/>
          </w:tcPr>
          <w:p w14:paraId="24EFF382">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w:t>
            </w:r>
          </w:p>
        </w:tc>
        <w:tc>
          <w:tcPr>
            <w:tcW w:w="947" w:type="dxa"/>
            <w:vAlign w:val="center"/>
          </w:tcPr>
          <w:p w14:paraId="3372FF43">
            <w:pPr>
              <w:adjustRightInd w:val="0"/>
              <w:snapToGrid w:val="0"/>
              <w:jc w:val="center"/>
              <w:rPr>
                <w:rFonts w:ascii="仿宋" w:hAnsi="仿宋" w:eastAsia="仿宋" w:cs="宋体"/>
                <w:color w:val="auto"/>
                <w:szCs w:val="21"/>
              </w:rPr>
            </w:pPr>
          </w:p>
        </w:tc>
        <w:tc>
          <w:tcPr>
            <w:tcW w:w="856" w:type="dxa"/>
            <w:vAlign w:val="center"/>
          </w:tcPr>
          <w:p w14:paraId="1DE5E48A">
            <w:pPr>
              <w:adjustRightInd w:val="0"/>
              <w:snapToGrid w:val="0"/>
              <w:jc w:val="center"/>
              <w:rPr>
                <w:rFonts w:ascii="仿宋" w:hAnsi="仿宋" w:eastAsia="仿宋" w:cs="宋体"/>
                <w:color w:val="auto"/>
                <w:szCs w:val="21"/>
              </w:rPr>
            </w:pPr>
          </w:p>
        </w:tc>
        <w:tc>
          <w:tcPr>
            <w:tcW w:w="870" w:type="dxa"/>
            <w:vAlign w:val="center"/>
          </w:tcPr>
          <w:p w14:paraId="3FAC265A">
            <w:pPr>
              <w:adjustRightInd w:val="0"/>
              <w:snapToGrid w:val="0"/>
              <w:jc w:val="center"/>
              <w:rPr>
                <w:rFonts w:ascii="仿宋" w:hAnsi="仿宋" w:eastAsia="仿宋" w:cs="宋体"/>
                <w:color w:val="auto"/>
                <w:szCs w:val="21"/>
              </w:rPr>
            </w:pPr>
          </w:p>
        </w:tc>
        <w:tc>
          <w:tcPr>
            <w:tcW w:w="868" w:type="dxa"/>
            <w:vAlign w:val="center"/>
          </w:tcPr>
          <w:p w14:paraId="04752476">
            <w:pPr>
              <w:adjustRightInd w:val="0"/>
              <w:snapToGrid w:val="0"/>
              <w:jc w:val="center"/>
              <w:rPr>
                <w:rFonts w:ascii="仿宋" w:hAnsi="仿宋" w:eastAsia="仿宋" w:cs="宋体"/>
                <w:color w:val="auto"/>
                <w:szCs w:val="21"/>
              </w:rPr>
            </w:pPr>
          </w:p>
        </w:tc>
      </w:tr>
      <w:tr w14:paraId="4C106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510" w:hRule="atLeast"/>
          <w:jc w:val="center"/>
        </w:trPr>
        <w:tc>
          <w:tcPr>
            <w:tcW w:w="6477" w:type="dxa"/>
            <w:gridSpan w:val="3"/>
            <w:vAlign w:val="center"/>
          </w:tcPr>
          <w:p w14:paraId="6D4F5CCF">
            <w:pPr>
              <w:adjustRightInd w:val="0"/>
              <w:snapToGrid w:val="0"/>
              <w:jc w:val="center"/>
              <w:rPr>
                <w:rFonts w:ascii="仿宋" w:hAnsi="仿宋" w:eastAsia="仿宋" w:cs="宋体"/>
                <w:color w:val="auto"/>
                <w:szCs w:val="21"/>
              </w:rPr>
            </w:pPr>
            <w:r>
              <w:rPr>
                <w:rFonts w:hint="eastAsia" w:ascii="仿宋" w:hAnsi="仿宋" w:eastAsia="仿宋" w:cs="宋体"/>
                <w:color w:val="auto"/>
                <w:szCs w:val="21"/>
              </w:rPr>
              <w:t>合计</w:t>
            </w:r>
          </w:p>
        </w:tc>
        <w:tc>
          <w:tcPr>
            <w:tcW w:w="1726" w:type="dxa"/>
            <w:gridSpan w:val="2"/>
            <w:vAlign w:val="center"/>
          </w:tcPr>
          <w:p w14:paraId="33BF9937">
            <w:pPr>
              <w:adjustRightInd w:val="0"/>
              <w:snapToGrid w:val="0"/>
              <w:jc w:val="center"/>
              <w:rPr>
                <w:rFonts w:ascii="仿宋" w:hAnsi="仿宋" w:eastAsia="仿宋" w:cs="宋体"/>
                <w:color w:val="auto"/>
                <w:szCs w:val="21"/>
              </w:rPr>
            </w:pPr>
          </w:p>
        </w:tc>
        <w:tc>
          <w:tcPr>
            <w:tcW w:w="868" w:type="dxa"/>
            <w:vAlign w:val="center"/>
          </w:tcPr>
          <w:p w14:paraId="41169B70">
            <w:pPr>
              <w:adjustRightInd w:val="0"/>
              <w:snapToGrid w:val="0"/>
              <w:jc w:val="center"/>
              <w:rPr>
                <w:rFonts w:ascii="仿宋" w:hAnsi="仿宋" w:eastAsia="仿宋" w:cs="宋体"/>
                <w:color w:val="auto"/>
                <w:szCs w:val="21"/>
              </w:rPr>
            </w:pPr>
          </w:p>
        </w:tc>
      </w:tr>
    </w:tbl>
    <w:p w14:paraId="740737ED">
      <w:pPr>
        <w:adjustRightInd w:val="0"/>
        <w:snapToGrid w:val="0"/>
        <w:spacing w:line="360" w:lineRule="auto"/>
        <w:rPr>
          <w:rFonts w:ascii="仿宋" w:hAnsi="仿宋" w:eastAsia="仿宋" w:cs="宋体"/>
          <w:color w:val="auto"/>
          <w:szCs w:val="21"/>
        </w:rPr>
      </w:pPr>
      <w:r>
        <w:rPr>
          <w:rFonts w:hint="eastAsia" w:ascii="仿宋" w:hAnsi="仿宋" w:eastAsia="仿宋" w:cs="宋体"/>
          <w:color w:val="auto"/>
          <w:szCs w:val="21"/>
        </w:rPr>
        <w:t>说明：</w:t>
      </w:r>
    </w:p>
    <w:p w14:paraId="0A8A15EB">
      <w:pPr>
        <w:numPr>
          <w:ilvl w:val="0"/>
          <w:numId w:val="37"/>
        </w:numPr>
        <w:adjustRightInd w:val="0"/>
        <w:snapToGrid w:val="0"/>
        <w:rPr>
          <w:rFonts w:ascii="仿宋" w:hAnsi="仿宋" w:eastAsia="仿宋" w:cs="宋体"/>
          <w:color w:val="auto"/>
          <w:szCs w:val="21"/>
        </w:rPr>
      </w:pPr>
      <w:r>
        <w:rPr>
          <w:rFonts w:hint="eastAsia" w:ascii="仿宋" w:hAnsi="仿宋" w:eastAsia="仿宋" w:cs="宋体"/>
          <w:color w:val="auto"/>
          <w:szCs w:val="21"/>
        </w:rPr>
        <w:t>所有价格均用人民币表示，单位为元。</w:t>
      </w:r>
    </w:p>
    <w:p w14:paraId="6AFACB0B">
      <w:pPr>
        <w:numPr>
          <w:ilvl w:val="0"/>
          <w:numId w:val="37"/>
        </w:numPr>
        <w:adjustRightInd w:val="0"/>
        <w:snapToGrid w:val="0"/>
        <w:rPr>
          <w:rFonts w:ascii="仿宋" w:hAnsi="仿宋" w:eastAsia="仿宋" w:cs="宋体"/>
          <w:color w:val="auto"/>
          <w:szCs w:val="21"/>
        </w:rPr>
      </w:pPr>
      <w:r>
        <w:rPr>
          <w:rFonts w:hint="eastAsia" w:ascii="仿宋" w:hAnsi="仿宋" w:eastAsia="仿宋" w:cs="宋体"/>
          <w:color w:val="auto"/>
          <w:szCs w:val="21"/>
        </w:rPr>
        <w:t>供应商应提供响应范围以外的备品备件∕服务报价表，如无此项则可不提供。本表中的报价不含在响应总报价中。</w:t>
      </w:r>
    </w:p>
    <w:p w14:paraId="7B496A67">
      <w:pPr>
        <w:numPr>
          <w:ilvl w:val="0"/>
          <w:numId w:val="37"/>
        </w:numPr>
        <w:adjustRightInd w:val="0"/>
        <w:snapToGrid w:val="0"/>
        <w:rPr>
          <w:rFonts w:ascii="仿宋" w:hAnsi="仿宋" w:eastAsia="仿宋" w:cs="宋体"/>
          <w:color w:val="auto"/>
          <w:szCs w:val="21"/>
        </w:rPr>
      </w:pPr>
      <w:r>
        <w:rPr>
          <w:rFonts w:hint="eastAsia" w:ascii="仿宋" w:hAnsi="仿宋" w:eastAsia="仿宋" w:cs="宋体"/>
          <w:color w:val="auto"/>
          <w:szCs w:val="21"/>
        </w:rPr>
        <w:t>供应商必须按此表格式中的对应栏目内容填写，若需增加栏目，请在栏目“备注”中填写，并作详细说明。</w:t>
      </w:r>
    </w:p>
    <w:p w14:paraId="5B1F94AA">
      <w:pPr>
        <w:adjustRightInd w:val="0"/>
        <w:snapToGrid w:val="0"/>
        <w:spacing w:line="360" w:lineRule="auto"/>
        <w:rPr>
          <w:rFonts w:ascii="仿宋" w:hAnsi="仿宋" w:eastAsia="仿宋" w:cs="宋体"/>
          <w:color w:val="auto"/>
          <w:szCs w:val="21"/>
        </w:rPr>
      </w:pPr>
    </w:p>
    <w:p w14:paraId="225D5480">
      <w:pPr>
        <w:spacing w:line="360" w:lineRule="auto"/>
        <w:rPr>
          <w:rFonts w:ascii="仿宋" w:hAnsi="仿宋" w:eastAsia="仿宋" w:cs="宋体"/>
          <w:color w:val="auto"/>
          <w:szCs w:val="21"/>
        </w:rPr>
      </w:pPr>
      <w:r>
        <w:rPr>
          <w:rFonts w:hint="eastAsia" w:ascii="仿宋" w:hAnsi="仿宋" w:eastAsia="仿宋" w:cs="宋体"/>
          <w:color w:val="auto"/>
          <w:szCs w:val="21"/>
        </w:rPr>
        <w:t>磋商供应商法定代表人或授权代表签字：</w:t>
      </w:r>
    </w:p>
    <w:p w14:paraId="0BD23D7A">
      <w:pPr>
        <w:spacing w:line="360" w:lineRule="auto"/>
        <w:rPr>
          <w:rFonts w:ascii="仿宋" w:hAnsi="仿宋" w:eastAsia="仿宋" w:cs="宋体"/>
          <w:color w:val="auto"/>
          <w:szCs w:val="21"/>
          <w:u w:val="single"/>
        </w:rPr>
      </w:pPr>
      <w:r>
        <w:rPr>
          <w:rFonts w:hint="eastAsia" w:ascii="仿宋" w:hAnsi="仿宋" w:eastAsia="仿宋" w:cs="宋体"/>
          <w:color w:val="auto"/>
          <w:szCs w:val="21"/>
        </w:rPr>
        <w:t>磋商供应商名称（签章）：</w:t>
      </w:r>
    </w:p>
    <w:p w14:paraId="231301EF">
      <w:pPr>
        <w:spacing w:line="360" w:lineRule="auto"/>
        <w:rPr>
          <w:rFonts w:ascii="仿宋" w:hAnsi="仿宋" w:eastAsia="仿宋" w:cs="宋体"/>
          <w:color w:val="auto"/>
          <w:szCs w:val="21"/>
        </w:rPr>
      </w:pPr>
      <w:r>
        <w:rPr>
          <w:rFonts w:hint="eastAsia" w:ascii="仿宋" w:hAnsi="仿宋" w:eastAsia="仿宋" w:cs="宋体"/>
          <w:color w:val="auto"/>
          <w:szCs w:val="21"/>
        </w:rPr>
        <w:t>时                 间：年月日</w:t>
      </w:r>
    </w:p>
    <w:p w14:paraId="2C068116">
      <w:pPr>
        <w:rPr>
          <w:rFonts w:ascii="仿宋" w:hAnsi="仿宋" w:eastAsia="仿宋" w:cs="宋体"/>
          <w:color w:val="auto"/>
          <w:szCs w:val="21"/>
        </w:rPr>
      </w:pPr>
      <w:r>
        <w:rPr>
          <w:rFonts w:hint="eastAsia" w:ascii="仿宋" w:hAnsi="仿宋" w:eastAsia="仿宋" w:cs="宋体"/>
          <w:color w:val="auto"/>
          <w:szCs w:val="21"/>
        </w:rPr>
        <w:br w:type="page"/>
      </w:r>
    </w:p>
    <w:bookmarkEnd w:id="261"/>
    <w:bookmarkEnd w:id="262"/>
    <w:p w14:paraId="421AE88A">
      <w:pPr>
        <w:numPr>
          <w:ilvl w:val="4"/>
          <w:numId w:val="31"/>
        </w:numPr>
        <w:tabs>
          <w:tab w:val="left" w:pos="540"/>
        </w:tabs>
        <w:autoSpaceDE w:val="0"/>
        <w:autoSpaceDN w:val="0"/>
        <w:adjustRightInd w:val="0"/>
        <w:ind w:left="540" w:hanging="540"/>
        <w:outlineLvl w:val="1"/>
        <w:rPr>
          <w:rFonts w:ascii="仿宋" w:hAnsi="仿宋" w:eastAsia="仿宋" w:cs="宋体"/>
          <w:b/>
          <w:bCs/>
          <w:color w:val="auto"/>
          <w:sz w:val="24"/>
        </w:rPr>
      </w:pPr>
      <w:bookmarkStart w:id="268" w:name="_Toc149035961"/>
      <w:bookmarkStart w:id="269" w:name="_Toc422466736"/>
      <w:bookmarkStart w:id="270" w:name="_Toc24667"/>
      <w:bookmarkStart w:id="271" w:name="_Toc432149012"/>
      <w:bookmarkStart w:id="272" w:name="_Toc9779"/>
      <w:r>
        <w:rPr>
          <w:rFonts w:hint="eastAsia" w:ascii="仿宋" w:hAnsi="仿宋" w:eastAsia="仿宋" w:cs="宋体"/>
          <w:b/>
          <w:bCs/>
          <w:color w:val="auto"/>
          <w:sz w:val="24"/>
        </w:rPr>
        <w:t>偏离说明表</w:t>
      </w:r>
      <w:bookmarkEnd w:id="268"/>
      <w:bookmarkEnd w:id="269"/>
      <w:bookmarkEnd w:id="270"/>
      <w:bookmarkEnd w:id="271"/>
      <w:bookmarkEnd w:id="272"/>
    </w:p>
    <w:p w14:paraId="4EC6A3B1">
      <w:pPr>
        <w:adjustRightInd w:val="0"/>
        <w:snapToGrid w:val="0"/>
        <w:rPr>
          <w:rFonts w:ascii="仿宋" w:hAnsi="仿宋" w:eastAsia="仿宋" w:cs="宋体"/>
          <w:color w:val="auto"/>
          <w:szCs w:val="21"/>
        </w:rPr>
      </w:pPr>
    </w:p>
    <w:p w14:paraId="1DA8A9BF">
      <w:pPr>
        <w:adjustRightInd w:val="0"/>
        <w:snapToGrid w:val="0"/>
        <w:spacing w:line="360" w:lineRule="auto"/>
        <w:rPr>
          <w:rFonts w:ascii="仿宋" w:hAnsi="仿宋" w:eastAsia="仿宋" w:cs="宋体"/>
          <w:color w:val="auto"/>
          <w:szCs w:val="21"/>
          <w:u w:val="single"/>
        </w:rPr>
      </w:pPr>
      <w:r>
        <w:rPr>
          <w:rFonts w:hint="eastAsia" w:ascii="仿宋" w:hAnsi="仿宋" w:eastAsia="仿宋" w:cs="宋体"/>
          <w:color w:val="auto"/>
          <w:szCs w:val="21"/>
        </w:rPr>
        <w:t>项目名称：</w:t>
      </w:r>
    </w:p>
    <w:p w14:paraId="484DA429">
      <w:pPr>
        <w:adjustRightInd w:val="0"/>
        <w:snapToGrid w:val="0"/>
        <w:spacing w:line="360" w:lineRule="auto"/>
        <w:rPr>
          <w:rFonts w:ascii="仿宋" w:hAnsi="仿宋" w:eastAsia="仿宋" w:cs="宋体"/>
          <w:color w:val="auto"/>
          <w:szCs w:val="21"/>
        </w:rPr>
      </w:pPr>
      <w:r>
        <w:rPr>
          <w:rFonts w:hint="eastAsia" w:ascii="仿宋" w:hAnsi="仿宋" w:eastAsia="仿宋" w:cs="宋体"/>
          <w:color w:val="auto"/>
          <w:szCs w:val="21"/>
        </w:rPr>
        <w:t>项目编号：</w:t>
      </w: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2874"/>
        <w:gridCol w:w="3449"/>
        <w:gridCol w:w="1675"/>
      </w:tblGrid>
      <w:tr w14:paraId="6F74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shd w:val="clear" w:color="auto" w:fill="C0C0C0"/>
            <w:vAlign w:val="center"/>
          </w:tcPr>
          <w:p w14:paraId="5FEFD075">
            <w:pPr>
              <w:adjustRightInd w:val="0"/>
              <w:snapToGrid w:val="0"/>
              <w:spacing w:before="24" w:beforeLines="10" w:after="24" w:afterLines="10"/>
              <w:ind w:left="21" w:leftChars="10" w:right="21" w:rightChars="10"/>
              <w:jc w:val="center"/>
              <w:rPr>
                <w:rFonts w:ascii="仿宋" w:hAnsi="仿宋" w:eastAsia="仿宋" w:cs="宋体"/>
                <w:b/>
                <w:color w:val="auto"/>
                <w:szCs w:val="21"/>
              </w:rPr>
            </w:pPr>
            <w:r>
              <w:rPr>
                <w:rFonts w:hint="eastAsia" w:ascii="仿宋" w:hAnsi="仿宋" w:eastAsia="仿宋" w:cs="宋体"/>
                <w:b/>
                <w:color w:val="auto"/>
                <w:szCs w:val="21"/>
              </w:rPr>
              <w:t>序号</w:t>
            </w:r>
          </w:p>
        </w:tc>
        <w:tc>
          <w:tcPr>
            <w:tcW w:w="2874" w:type="dxa"/>
            <w:shd w:val="clear" w:color="auto" w:fill="C0C0C0"/>
            <w:vAlign w:val="center"/>
          </w:tcPr>
          <w:p w14:paraId="327C4327">
            <w:pPr>
              <w:adjustRightInd w:val="0"/>
              <w:snapToGrid w:val="0"/>
              <w:spacing w:before="24" w:beforeLines="10" w:after="24" w:afterLines="10"/>
              <w:ind w:left="21" w:leftChars="10" w:right="21" w:rightChars="10"/>
              <w:jc w:val="center"/>
              <w:rPr>
                <w:rFonts w:ascii="仿宋" w:hAnsi="仿宋" w:eastAsia="仿宋" w:cs="宋体"/>
                <w:b/>
                <w:color w:val="auto"/>
                <w:szCs w:val="21"/>
              </w:rPr>
            </w:pPr>
            <w:r>
              <w:rPr>
                <w:rFonts w:hint="eastAsia" w:ascii="仿宋" w:hAnsi="仿宋" w:eastAsia="仿宋" w:cs="宋体"/>
                <w:b/>
                <w:color w:val="auto"/>
                <w:szCs w:val="21"/>
              </w:rPr>
              <w:t>采购需求</w:t>
            </w:r>
          </w:p>
        </w:tc>
        <w:tc>
          <w:tcPr>
            <w:tcW w:w="3449" w:type="dxa"/>
            <w:shd w:val="clear" w:color="auto" w:fill="C0C0C0"/>
            <w:vAlign w:val="center"/>
          </w:tcPr>
          <w:p w14:paraId="756E9FF3">
            <w:pPr>
              <w:adjustRightInd w:val="0"/>
              <w:snapToGrid w:val="0"/>
              <w:spacing w:before="24" w:beforeLines="10" w:after="24" w:afterLines="10"/>
              <w:ind w:left="21" w:leftChars="10" w:right="21" w:rightChars="10"/>
              <w:jc w:val="center"/>
              <w:rPr>
                <w:rFonts w:ascii="仿宋" w:hAnsi="仿宋" w:eastAsia="仿宋" w:cs="宋体"/>
                <w:b/>
                <w:color w:val="auto"/>
                <w:szCs w:val="21"/>
              </w:rPr>
            </w:pPr>
            <w:r>
              <w:rPr>
                <w:rFonts w:hint="eastAsia" w:ascii="仿宋" w:hAnsi="仿宋" w:eastAsia="仿宋" w:cs="宋体"/>
                <w:b/>
                <w:color w:val="auto"/>
                <w:szCs w:val="21"/>
              </w:rPr>
              <w:t>响应情况</w:t>
            </w:r>
          </w:p>
        </w:tc>
        <w:tc>
          <w:tcPr>
            <w:tcW w:w="1675" w:type="dxa"/>
            <w:shd w:val="clear" w:color="auto" w:fill="C0C0C0"/>
            <w:vAlign w:val="center"/>
          </w:tcPr>
          <w:p w14:paraId="02A731E3">
            <w:pPr>
              <w:adjustRightInd w:val="0"/>
              <w:snapToGrid w:val="0"/>
              <w:spacing w:before="24" w:beforeLines="10" w:after="24" w:afterLines="10"/>
              <w:ind w:left="21" w:leftChars="10" w:right="21" w:rightChars="10"/>
              <w:jc w:val="center"/>
              <w:rPr>
                <w:rFonts w:ascii="仿宋" w:hAnsi="仿宋" w:eastAsia="仿宋" w:cs="宋体"/>
                <w:b/>
                <w:color w:val="auto"/>
                <w:szCs w:val="21"/>
              </w:rPr>
            </w:pPr>
            <w:r>
              <w:rPr>
                <w:rFonts w:hint="eastAsia" w:ascii="仿宋" w:hAnsi="仿宋" w:eastAsia="仿宋" w:cs="宋体"/>
                <w:b/>
                <w:color w:val="auto"/>
                <w:szCs w:val="21"/>
              </w:rPr>
              <w:t>偏离说明</w:t>
            </w:r>
          </w:p>
        </w:tc>
      </w:tr>
      <w:tr w14:paraId="1993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9071" w:type="dxa"/>
            <w:gridSpan w:val="4"/>
            <w:shd w:val="clear" w:color="auto" w:fill="C0C0C0"/>
            <w:vAlign w:val="center"/>
          </w:tcPr>
          <w:p w14:paraId="00DCFC7F">
            <w:pPr>
              <w:adjustRightInd w:val="0"/>
              <w:snapToGrid w:val="0"/>
              <w:spacing w:before="24" w:beforeLines="10" w:after="24" w:afterLines="10"/>
              <w:ind w:left="21" w:leftChars="10" w:right="21" w:rightChars="10"/>
              <w:jc w:val="center"/>
              <w:rPr>
                <w:rFonts w:ascii="仿宋" w:hAnsi="仿宋" w:eastAsia="仿宋" w:cs="宋体"/>
                <w:b/>
                <w:color w:val="auto"/>
                <w:szCs w:val="21"/>
              </w:rPr>
            </w:pPr>
            <w:r>
              <w:rPr>
                <w:rFonts w:hint="eastAsia" w:ascii="仿宋" w:hAnsi="仿宋" w:eastAsia="仿宋" w:cs="宋体"/>
                <w:b/>
                <w:color w:val="auto"/>
                <w:szCs w:val="21"/>
                <w:u w:val="single"/>
              </w:rPr>
              <w:t xml:space="preserve"> </w:t>
            </w:r>
            <w:r>
              <w:rPr>
                <w:rFonts w:ascii="仿宋" w:hAnsi="仿宋" w:eastAsia="仿宋" w:cs="宋体"/>
                <w:b/>
                <w:color w:val="auto"/>
                <w:szCs w:val="21"/>
                <w:u w:val="single"/>
              </w:rPr>
              <w:t xml:space="preserve">    </w:t>
            </w:r>
            <w:r>
              <w:rPr>
                <w:rFonts w:hint="eastAsia" w:ascii="仿宋" w:hAnsi="仿宋" w:eastAsia="仿宋" w:cs="宋体"/>
                <w:b/>
                <w:color w:val="auto"/>
                <w:szCs w:val="21"/>
              </w:rPr>
              <w:t>要求</w:t>
            </w:r>
          </w:p>
        </w:tc>
      </w:tr>
      <w:tr w14:paraId="127F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0C155B4F">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1</w:t>
            </w:r>
          </w:p>
        </w:tc>
        <w:tc>
          <w:tcPr>
            <w:tcW w:w="2874" w:type="dxa"/>
            <w:vAlign w:val="center"/>
          </w:tcPr>
          <w:p w14:paraId="6134FD08">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426E8B7B">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4F0FFEB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7D87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277FB4B3">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2</w:t>
            </w:r>
          </w:p>
        </w:tc>
        <w:tc>
          <w:tcPr>
            <w:tcW w:w="2874" w:type="dxa"/>
            <w:vAlign w:val="center"/>
          </w:tcPr>
          <w:p w14:paraId="57092D6E">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3EF7B58A">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328EC80D">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063B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0DCF0B3E">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3</w:t>
            </w:r>
          </w:p>
        </w:tc>
        <w:tc>
          <w:tcPr>
            <w:tcW w:w="2874" w:type="dxa"/>
            <w:vAlign w:val="center"/>
          </w:tcPr>
          <w:p w14:paraId="0380BDA2">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5F65810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529FF43D">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5673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17DB23B6">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w:t>
            </w:r>
          </w:p>
        </w:tc>
        <w:tc>
          <w:tcPr>
            <w:tcW w:w="2874" w:type="dxa"/>
            <w:vAlign w:val="center"/>
          </w:tcPr>
          <w:p w14:paraId="6AED900F">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3F8DA035">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4B7470D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6EA9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9071" w:type="dxa"/>
            <w:gridSpan w:val="4"/>
            <w:shd w:val="clear" w:color="auto" w:fill="C0C0C0"/>
            <w:vAlign w:val="center"/>
          </w:tcPr>
          <w:p w14:paraId="58BABBE9">
            <w:pPr>
              <w:adjustRightInd w:val="0"/>
              <w:snapToGrid w:val="0"/>
              <w:spacing w:before="24" w:beforeLines="10" w:after="24" w:afterLines="10"/>
              <w:ind w:left="21" w:leftChars="10" w:right="21" w:rightChars="10"/>
              <w:jc w:val="center"/>
              <w:rPr>
                <w:rFonts w:ascii="仿宋" w:hAnsi="仿宋" w:eastAsia="仿宋" w:cs="宋体"/>
                <w:b/>
                <w:color w:val="auto"/>
                <w:szCs w:val="21"/>
              </w:rPr>
            </w:pPr>
            <w:r>
              <w:rPr>
                <w:rFonts w:hint="eastAsia" w:ascii="仿宋" w:hAnsi="仿宋" w:eastAsia="仿宋" w:cs="宋体"/>
                <w:b/>
                <w:color w:val="auto"/>
                <w:szCs w:val="21"/>
                <w:u w:val="single"/>
              </w:rPr>
              <w:t xml:space="preserve"> </w:t>
            </w:r>
            <w:r>
              <w:rPr>
                <w:rFonts w:ascii="仿宋" w:hAnsi="仿宋" w:eastAsia="仿宋" w:cs="宋体"/>
                <w:b/>
                <w:color w:val="auto"/>
                <w:szCs w:val="21"/>
                <w:u w:val="single"/>
              </w:rPr>
              <w:t xml:space="preserve">    </w:t>
            </w:r>
            <w:r>
              <w:rPr>
                <w:rFonts w:hint="eastAsia" w:ascii="仿宋" w:hAnsi="仿宋" w:eastAsia="仿宋" w:cs="宋体"/>
                <w:b/>
                <w:color w:val="auto"/>
                <w:szCs w:val="21"/>
              </w:rPr>
              <w:t>要求</w:t>
            </w:r>
          </w:p>
        </w:tc>
      </w:tr>
      <w:tr w14:paraId="5940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0DD5829A">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1</w:t>
            </w:r>
          </w:p>
        </w:tc>
        <w:tc>
          <w:tcPr>
            <w:tcW w:w="2874" w:type="dxa"/>
            <w:vAlign w:val="center"/>
          </w:tcPr>
          <w:p w14:paraId="7FC5306B">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483AD7AF">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10BCA5FC">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0B05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0B887EC7">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2</w:t>
            </w:r>
          </w:p>
        </w:tc>
        <w:tc>
          <w:tcPr>
            <w:tcW w:w="2874" w:type="dxa"/>
            <w:vAlign w:val="center"/>
          </w:tcPr>
          <w:p w14:paraId="3656A9F4">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541746C0">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7E38B996">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63F5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35CEA275">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3</w:t>
            </w:r>
          </w:p>
        </w:tc>
        <w:tc>
          <w:tcPr>
            <w:tcW w:w="2874" w:type="dxa"/>
            <w:vAlign w:val="center"/>
          </w:tcPr>
          <w:p w14:paraId="76274947">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098A4D0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2988D124">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0F75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14:paraId="284E7316">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w:t>
            </w:r>
          </w:p>
        </w:tc>
        <w:tc>
          <w:tcPr>
            <w:tcW w:w="2874" w:type="dxa"/>
            <w:vAlign w:val="center"/>
          </w:tcPr>
          <w:p w14:paraId="11F4DEC8">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3449" w:type="dxa"/>
            <w:vAlign w:val="center"/>
          </w:tcPr>
          <w:p w14:paraId="51A10B60">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75" w:type="dxa"/>
            <w:vAlign w:val="center"/>
          </w:tcPr>
          <w:p w14:paraId="2321BAE7">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bl>
    <w:p w14:paraId="0709A613">
      <w:pPr>
        <w:adjustRightInd w:val="0"/>
        <w:snapToGrid w:val="0"/>
        <w:rPr>
          <w:rFonts w:ascii="仿宋" w:hAnsi="仿宋" w:eastAsia="仿宋" w:cs="宋体"/>
          <w:color w:val="auto"/>
          <w:szCs w:val="21"/>
        </w:rPr>
      </w:pPr>
      <w:r>
        <w:rPr>
          <w:rFonts w:hint="eastAsia" w:ascii="仿宋" w:hAnsi="仿宋" w:eastAsia="仿宋" w:cs="宋体"/>
          <w:color w:val="auto"/>
          <w:szCs w:val="21"/>
        </w:rPr>
        <w:t>说明：</w:t>
      </w:r>
    </w:p>
    <w:p w14:paraId="5520C8B6">
      <w:pPr>
        <w:numPr>
          <w:ilvl w:val="7"/>
          <w:numId w:val="38"/>
        </w:numPr>
        <w:tabs>
          <w:tab w:val="left" w:pos="540"/>
        </w:tabs>
        <w:adjustRightInd w:val="0"/>
        <w:snapToGrid w:val="0"/>
        <w:ind w:left="540" w:hanging="540"/>
        <w:rPr>
          <w:rFonts w:ascii="仿宋" w:hAnsi="仿宋" w:eastAsia="仿宋" w:cs="宋体"/>
          <w:color w:val="auto"/>
          <w:szCs w:val="21"/>
        </w:rPr>
      </w:pPr>
      <w:r>
        <w:rPr>
          <w:rFonts w:hint="eastAsia" w:ascii="仿宋" w:hAnsi="仿宋" w:eastAsia="仿宋" w:cs="宋体"/>
          <w:color w:val="auto"/>
          <w:szCs w:val="21"/>
        </w:rPr>
        <w:t>供应商应对竞争性磋商采购文件的各项要求，逐条说明竞争性磋商响应文件做出的实质性响应，并申明竞争性磋商响应文件的偏离和例外。优于竞争性磋商采购文件要求的为正偏离，不满足的为负偏离。“技术要求”对应本竞争性磋商采购文件第三章技术要求，“商务需求”对应本竞争性磋商采购文件第三章商务要求；</w:t>
      </w:r>
    </w:p>
    <w:p w14:paraId="37C938DD">
      <w:pPr>
        <w:numPr>
          <w:ilvl w:val="7"/>
          <w:numId w:val="38"/>
        </w:numPr>
        <w:tabs>
          <w:tab w:val="left" w:pos="540"/>
        </w:tabs>
        <w:adjustRightInd w:val="0"/>
        <w:snapToGrid w:val="0"/>
        <w:ind w:left="540" w:hanging="540"/>
        <w:rPr>
          <w:rFonts w:ascii="仿宋" w:hAnsi="仿宋" w:eastAsia="仿宋" w:cs="宋体"/>
          <w:color w:val="auto"/>
          <w:szCs w:val="21"/>
        </w:rPr>
      </w:pPr>
      <w:r>
        <w:rPr>
          <w:rFonts w:hint="eastAsia" w:ascii="仿宋" w:hAnsi="仿宋" w:eastAsia="仿宋" w:cs="宋体"/>
          <w:color w:val="auto"/>
          <w:szCs w:val="21"/>
        </w:rPr>
        <w:t>对有具体参数要求的指标，磋商供应商必须提供所投产品的具体参数值。如果仅注明“符合”，“满足”或简单复制竞争性磋商采购文件要求，将可能导致报价被拒绝。</w:t>
      </w:r>
    </w:p>
    <w:p w14:paraId="23204EA5">
      <w:pPr>
        <w:adjustRightInd w:val="0"/>
        <w:snapToGrid w:val="0"/>
        <w:ind w:firstLine="420"/>
        <w:rPr>
          <w:rFonts w:ascii="仿宋" w:hAnsi="仿宋" w:eastAsia="仿宋" w:cs="宋体"/>
          <w:color w:val="auto"/>
          <w:szCs w:val="21"/>
        </w:rPr>
      </w:pPr>
    </w:p>
    <w:p w14:paraId="3474A8F8">
      <w:pPr>
        <w:adjustRightInd w:val="0"/>
        <w:snapToGrid w:val="0"/>
        <w:rPr>
          <w:rFonts w:ascii="仿宋" w:hAnsi="仿宋" w:eastAsia="仿宋" w:cs="宋体"/>
          <w:color w:val="auto"/>
          <w:szCs w:val="21"/>
        </w:rPr>
      </w:pPr>
    </w:p>
    <w:p w14:paraId="5EC36E34">
      <w:pPr>
        <w:spacing w:line="360" w:lineRule="auto"/>
        <w:rPr>
          <w:rFonts w:ascii="仿宋" w:hAnsi="仿宋" w:eastAsia="仿宋" w:cs="宋体"/>
          <w:color w:val="auto"/>
          <w:szCs w:val="21"/>
        </w:rPr>
      </w:pPr>
      <w:r>
        <w:rPr>
          <w:rFonts w:hint="eastAsia" w:ascii="仿宋" w:hAnsi="仿宋" w:eastAsia="仿宋" w:cs="宋体"/>
          <w:bCs/>
          <w:color w:val="auto"/>
          <w:szCs w:val="21"/>
        </w:rPr>
        <w:t>磋商</w:t>
      </w:r>
      <w:r>
        <w:rPr>
          <w:rFonts w:hint="eastAsia" w:ascii="仿宋" w:hAnsi="仿宋" w:eastAsia="仿宋" w:cs="宋体"/>
          <w:color w:val="auto"/>
          <w:szCs w:val="21"/>
        </w:rPr>
        <w:t>供应商法定代表人或授权代表签字：</w:t>
      </w:r>
    </w:p>
    <w:p w14:paraId="75054456">
      <w:pPr>
        <w:spacing w:line="360" w:lineRule="auto"/>
        <w:rPr>
          <w:rFonts w:ascii="仿宋" w:hAnsi="仿宋" w:eastAsia="仿宋" w:cs="宋体"/>
          <w:color w:val="auto"/>
          <w:szCs w:val="21"/>
          <w:u w:val="single"/>
        </w:rPr>
      </w:pPr>
      <w:r>
        <w:rPr>
          <w:rFonts w:hint="eastAsia" w:ascii="仿宋" w:hAnsi="仿宋" w:eastAsia="仿宋" w:cs="宋体"/>
          <w:color w:val="auto"/>
          <w:szCs w:val="21"/>
        </w:rPr>
        <w:t>磋商</w:t>
      </w:r>
      <w:r>
        <w:rPr>
          <w:rFonts w:hint="eastAsia" w:ascii="仿宋" w:hAnsi="仿宋" w:eastAsia="仿宋" w:cs="宋体"/>
          <w:bCs/>
          <w:color w:val="auto"/>
          <w:szCs w:val="21"/>
        </w:rPr>
        <w:t>供应商</w:t>
      </w:r>
      <w:r>
        <w:rPr>
          <w:rFonts w:hint="eastAsia" w:ascii="仿宋" w:hAnsi="仿宋" w:eastAsia="仿宋" w:cs="宋体"/>
          <w:color w:val="auto"/>
          <w:szCs w:val="21"/>
        </w:rPr>
        <w:t>名称（签章）：</w:t>
      </w:r>
    </w:p>
    <w:p w14:paraId="54F5A812">
      <w:pPr>
        <w:spacing w:line="360" w:lineRule="auto"/>
        <w:rPr>
          <w:rFonts w:ascii="仿宋" w:hAnsi="仿宋" w:eastAsia="仿宋" w:cs="宋体"/>
          <w:color w:val="auto"/>
          <w:szCs w:val="21"/>
        </w:rPr>
      </w:pPr>
      <w:r>
        <w:rPr>
          <w:rFonts w:hint="eastAsia" w:ascii="仿宋" w:hAnsi="仿宋" w:eastAsia="仿宋" w:cs="宋体"/>
          <w:bCs/>
          <w:color w:val="auto"/>
          <w:szCs w:val="21"/>
        </w:rPr>
        <w:t xml:space="preserve">时                 </w:t>
      </w:r>
      <w:r>
        <w:rPr>
          <w:rFonts w:hint="eastAsia" w:ascii="仿宋" w:hAnsi="仿宋" w:eastAsia="仿宋" w:cs="宋体"/>
          <w:color w:val="auto"/>
          <w:szCs w:val="21"/>
        </w:rPr>
        <w:t>间：年月日</w:t>
      </w:r>
    </w:p>
    <w:p w14:paraId="5CF085BF">
      <w:pPr>
        <w:rPr>
          <w:rFonts w:ascii="仿宋" w:hAnsi="仿宋" w:eastAsia="仿宋" w:cs="宋体"/>
          <w:b/>
          <w:color w:val="auto"/>
          <w:kern w:val="0"/>
          <w:szCs w:val="21"/>
        </w:rPr>
      </w:pPr>
    </w:p>
    <w:p w14:paraId="5C63467F">
      <w:pPr>
        <w:numPr>
          <w:ilvl w:val="4"/>
          <w:numId w:val="31"/>
        </w:numPr>
        <w:tabs>
          <w:tab w:val="left" w:pos="540"/>
        </w:tabs>
        <w:autoSpaceDE w:val="0"/>
        <w:autoSpaceDN w:val="0"/>
        <w:adjustRightInd w:val="0"/>
        <w:ind w:left="540" w:hanging="540"/>
        <w:outlineLvl w:val="1"/>
        <w:rPr>
          <w:rFonts w:ascii="仿宋" w:hAnsi="仿宋" w:eastAsia="仿宋" w:cs="宋体"/>
          <w:b/>
          <w:bCs/>
          <w:color w:val="auto"/>
          <w:szCs w:val="21"/>
        </w:rPr>
      </w:pPr>
      <w:r>
        <w:rPr>
          <w:rFonts w:hint="eastAsia" w:ascii="仿宋" w:hAnsi="仿宋" w:eastAsia="仿宋" w:cs="宋体"/>
          <w:b/>
          <w:color w:val="auto"/>
          <w:kern w:val="0"/>
          <w:szCs w:val="21"/>
        </w:rPr>
        <w:br w:type="page"/>
      </w:r>
      <w:bookmarkStart w:id="273" w:name="_Toc7811"/>
      <w:bookmarkStart w:id="274" w:name="_Toc149035962"/>
      <w:bookmarkStart w:id="275" w:name="_Toc30380"/>
      <w:bookmarkStart w:id="276" w:name="_Toc432149013"/>
      <w:bookmarkStart w:id="277" w:name="_Toc362935521"/>
      <w:r>
        <w:rPr>
          <w:rFonts w:hint="eastAsia" w:ascii="仿宋" w:hAnsi="仿宋" w:eastAsia="仿宋" w:cs="宋体"/>
          <w:b/>
          <w:bCs/>
          <w:color w:val="auto"/>
          <w:sz w:val="24"/>
        </w:rPr>
        <w:t>类似业绩一览表</w:t>
      </w:r>
      <w:bookmarkEnd w:id="273"/>
      <w:bookmarkEnd w:id="274"/>
      <w:bookmarkEnd w:id="275"/>
      <w:bookmarkEnd w:id="276"/>
      <w:bookmarkEnd w:id="277"/>
    </w:p>
    <w:p w14:paraId="55D5CC20">
      <w:pPr>
        <w:adjustRightInd w:val="0"/>
        <w:snapToGrid w:val="0"/>
        <w:spacing w:line="360" w:lineRule="auto"/>
        <w:rPr>
          <w:rFonts w:ascii="仿宋" w:hAnsi="仿宋" w:eastAsia="仿宋" w:cs="宋体"/>
          <w:color w:val="auto"/>
          <w:szCs w:val="21"/>
        </w:rPr>
      </w:pPr>
    </w:p>
    <w:p w14:paraId="7DE0DE4C">
      <w:pPr>
        <w:adjustRightInd w:val="0"/>
        <w:snapToGrid w:val="0"/>
        <w:spacing w:line="360" w:lineRule="auto"/>
        <w:rPr>
          <w:rFonts w:ascii="仿宋" w:hAnsi="仿宋" w:eastAsia="仿宋" w:cs="宋体"/>
          <w:color w:val="auto"/>
          <w:szCs w:val="21"/>
          <w:u w:val="single"/>
        </w:rPr>
      </w:pPr>
      <w:r>
        <w:rPr>
          <w:rFonts w:hint="eastAsia" w:ascii="仿宋" w:hAnsi="仿宋" w:eastAsia="仿宋" w:cs="宋体"/>
          <w:color w:val="auto"/>
          <w:szCs w:val="21"/>
        </w:rPr>
        <w:t>项目名称：</w:t>
      </w:r>
    </w:p>
    <w:p w14:paraId="37DEC908">
      <w:pPr>
        <w:adjustRightInd w:val="0"/>
        <w:snapToGrid w:val="0"/>
        <w:spacing w:line="360" w:lineRule="auto"/>
        <w:rPr>
          <w:rFonts w:ascii="仿宋" w:hAnsi="仿宋" w:eastAsia="仿宋" w:cs="宋体"/>
          <w:color w:val="auto"/>
          <w:szCs w:val="21"/>
        </w:rPr>
      </w:pPr>
      <w:r>
        <w:rPr>
          <w:rFonts w:hint="eastAsia" w:ascii="仿宋" w:hAnsi="仿宋" w:eastAsia="仿宋" w:cs="宋体"/>
          <w:color w:val="auto"/>
          <w:szCs w:val="21"/>
        </w:rPr>
        <w:t>项目编号：</w:t>
      </w: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301"/>
        <w:gridCol w:w="1273"/>
        <w:gridCol w:w="1137"/>
        <w:gridCol w:w="1214"/>
        <w:gridCol w:w="1680"/>
        <w:gridCol w:w="1149"/>
      </w:tblGrid>
      <w:tr w14:paraId="133C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317" w:type="dxa"/>
            <w:vAlign w:val="center"/>
          </w:tcPr>
          <w:p w14:paraId="6C9DAC6B">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pacing w:val="-6"/>
                <w:szCs w:val="21"/>
              </w:rPr>
              <w:t>合同签订时间</w:t>
            </w:r>
          </w:p>
        </w:tc>
        <w:tc>
          <w:tcPr>
            <w:tcW w:w="1301" w:type="dxa"/>
            <w:vAlign w:val="center"/>
          </w:tcPr>
          <w:p w14:paraId="48F12E9A">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业主单位</w:t>
            </w:r>
          </w:p>
        </w:tc>
        <w:tc>
          <w:tcPr>
            <w:tcW w:w="1273" w:type="dxa"/>
            <w:vAlign w:val="center"/>
          </w:tcPr>
          <w:p w14:paraId="1CBB8AB1">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货物/服务类型</w:t>
            </w:r>
          </w:p>
        </w:tc>
        <w:tc>
          <w:tcPr>
            <w:tcW w:w="1137" w:type="dxa"/>
            <w:vAlign w:val="center"/>
          </w:tcPr>
          <w:p w14:paraId="03E03413">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合同金额</w:t>
            </w:r>
          </w:p>
        </w:tc>
        <w:tc>
          <w:tcPr>
            <w:tcW w:w="1214" w:type="dxa"/>
            <w:vAlign w:val="center"/>
          </w:tcPr>
          <w:p w14:paraId="50DC6A9F">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供货时间/服务期</w:t>
            </w:r>
          </w:p>
        </w:tc>
        <w:tc>
          <w:tcPr>
            <w:tcW w:w="1680" w:type="dxa"/>
            <w:vAlign w:val="center"/>
          </w:tcPr>
          <w:p w14:paraId="5D67365B">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业主单位联系人及电话</w:t>
            </w:r>
          </w:p>
        </w:tc>
        <w:tc>
          <w:tcPr>
            <w:tcW w:w="1149" w:type="dxa"/>
            <w:vAlign w:val="center"/>
          </w:tcPr>
          <w:p w14:paraId="63C95CCC">
            <w:pPr>
              <w:adjustRightInd w:val="0"/>
              <w:snapToGrid w:val="0"/>
              <w:spacing w:before="24" w:beforeLines="10" w:after="24" w:afterLines="10"/>
              <w:ind w:left="21" w:leftChars="10" w:right="21" w:rightChars="10"/>
              <w:jc w:val="center"/>
              <w:rPr>
                <w:rFonts w:ascii="仿宋" w:hAnsi="仿宋" w:eastAsia="仿宋" w:cs="宋体"/>
                <w:color w:val="auto"/>
                <w:szCs w:val="21"/>
              </w:rPr>
            </w:pPr>
            <w:r>
              <w:rPr>
                <w:rFonts w:hint="eastAsia" w:ascii="仿宋" w:hAnsi="仿宋" w:eastAsia="仿宋" w:cs="宋体"/>
                <w:color w:val="auto"/>
                <w:szCs w:val="21"/>
              </w:rPr>
              <w:t>备  注</w:t>
            </w:r>
          </w:p>
        </w:tc>
      </w:tr>
      <w:tr w14:paraId="1C1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dxa"/>
          </w:tcPr>
          <w:p w14:paraId="5CBF2E31">
            <w:pPr>
              <w:adjustRightInd w:val="0"/>
              <w:snapToGrid w:val="0"/>
              <w:spacing w:before="24" w:beforeLines="10" w:after="24" w:afterLines="10"/>
              <w:ind w:left="21" w:leftChars="10" w:right="21" w:rightChars="10"/>
              <w:jc w:val="center"/>
              <w:rPr>
                <w:rFonts w:ascii="仿宋" w:hAnsi="仿宋" w:eastAsia="仿宋" w:cs="宋体"/>
                <w:color w:val="auto"/>
                <w:szCs w:val="21"/>
              </w:rPr>
            </w:pPr>
          </w:p>
          <w:p w14:paraId="7C82A719">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301" w:type="dxa"/>
          </w:tcPr>
          <w:p w14:paraId="05D79E60">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73" w:type="dxa"/>
          </w:tcPr>
          <w:p w14:paraId="32F0C9AE">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37" w:type="dxa"/>
          </w:tcPr>
          <w:p w14:paraId="11101648">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14" w:type="dxa"/>
          </w:tcPr>
          <w:p w14:paraId="29FB9C4C">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80" w:type="dxa"/>
          </w:tcPr>
          <w:p w14:paraId="233E0DF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49" w:type="dxa"/>
          </w:tcPr>
          <w:p w14:paraId="3E33A71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0766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dxa"/>
          </w:tcPr>
          <w:p w14:paraId="778935CF">
            <w:pPr>
              <w:adjustRightInd w:val="0"/>
              <w:snapToGrid w:val="0"/>
              <w:spacing w:before="24" w:beforeLines="10" w:after="24" w:afterLines="10"/>
              <w:ind w:left="21" w:leftChars="10" w:right="21" w:rightChars="10"/>
              <w:jc w:val="center"/>
              <w:rPr>
                <w:rFonts w:ascii="仿宋" w:hAnsi="仿宋" w:eastAsia="仿宋" w:cs="宋体"/>
                <w:color w:val="auto"/>
                <w:szCs w:val="21"/>
              </w:rPr>
            </w:pPr>
          </w:p>
          <w:p w14:paraId="267476B9">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301" w:type="dxa"/>
          </w:tcPr>
          <w:p w14:paraId="1918E964">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73" w:type="dxa"/>
          </w:tcPr>
          <w:p w14:paraId="26743115">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37" w:type="dxa"/>
          </w:tcPr>
          <w:p w14:paraId="080F9B8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14" w:type="dxa"/>
          </w:tcPr>
          <w:p w14:paraId="1FEDFB7E">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80" w:type="dxa"/>
          </w:tcPr>
          <w:p w14:paraId="70B8CBCD">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49" w:type="dxa"/>
          </w:tcPr>
          <w:p w14:paraId="29BA9F1F">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1601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dxa"/>
          </w:tcPr>
          <w:p w14:paraId="18640C08">
            <w:pPr>
              <w:adjustRightInd w:val="0"/>
              <w:snapToGrid w:val="0"/>
              <w:spacing w:before="24" w:beforeLines="10" w:after="24" w:afterLines="10"/>
              <w:ind w:left="21" w:leftChars="10" w:right="21" w:rightChars="10"/>
              <w:jc w:val="center"/>
              <w:rPr>
                <w:rFonts w:ascii="仿宋" w:hAnsi="仿宋" w:eastAsia="仿宋" w:cs="宋体"/>
                <w:color w:val="auto"/>
                <w:szCs w:val="21"/>
              </w:rPr>
            </w:pPr>
          </w:p>
          <w:p w14:paraId="3A5A6CBA">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301" w:type="dxa"/>
          </w:tcPr>
          <w:p w14:paraId="61C1BDFE">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73" w:type="dxa"/>
          </w:tcPr>
          <w:p w14:paraId="6BE5F32C">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37" w:type="dxa"/>
          </w:tcPr>
          <w:p w14:paraId="18F3B87D">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14" w:type="dxa"/>
          </w:tcPr>
          <w:p w14:paraId="25742E3A">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80" w:type="dxa"/>
          </w:tcPr>
          <w:p w14:paraId="2B4AA3B9">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49" w:type="dxa"/>
          </w:tcPr>
          <w:p w14:paraId="335DFE46">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36DD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dxa"/>
          </w:tcPr>
          <w:p w14:paraId="36332A60">
            <w:pPr>
              <w:adjustRightInd w:val="0"/>
              <w:snapToGrid w:val="0"/>
              <w:spacing w:before="24" w:beforeLines="10" w:after="24" w:afterLines="10"/>
              <w:ind w:left="21" w:leftChars="10" w:right="21" w:rightChars="10"/>
              <w:jc w:val="center"/>
              <w:rPr>
                <w:rFonts w:ascii="仿宋" w:hAnsi="仿宋" w:eastAsia="仿宋" w:cs="宋体"/>
                <w:color w:val="auto"/>
                <w:szCs w:val="21"/>
              </w:rPr>
            </w:pPr>
          </w:p>
          <w:p w14:paraId="130731FD">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301" w:type="dxa"/>
          </w:tcPr>
          <w:p w14:paraId="7F094825">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73" w:type="dxa"/>
          </w:tcPr>
          <w:p w14:paraId="27A3051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37" w:type="dxa"/>
          </w:tcPr>
          <w:p w14:paraId="03366CAB">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14" w:type="dxa"/>
          </w:tcPr>
          <w:p w14:paraId="7F3BEFD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80" w:type="dxa"/>
          </w:tcPr>
          <w:p w14:paraId="6C838C79">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49" w:type="dxa"/>
          </w:tcPr>
          <w:p w14:paraId="1DFF0BB7">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4859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dxa"/>
          </w:tcPr>
          <w:p w14:paraId="4AF7FC16">
            <w:pPr>
              <w:adjustRightInd w:val="0"/>
              <w:snapToGrid w:val="0"/>
              <w:spacing w:before="24" w:beforeLines="10" w:after="24" w:afterLines="10"/>
              <w:ind w:left="21" w:leftChars="10" w:right="21" w:rightChars="10"/>
              <w:jc w:val="center"/>
              <w:rPr>
                <w:rFonts w:ascii="仿宋" w:hAnsi="仿宋" w:eastAsia="仿宋" w:cs="宋体"/>
                <w:color w:val="auto"/>
                <w:szCs w:val="21"/>
              </w:rPr>
            </w:pPr>
          </w:p>
          <w:p w14:paraId="2D60CA49">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301" w:type="dxa"/>
          </w:tcPr>
          <w:p w14:paraId="6797471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73" w:type="dxa"/>
          </w:tcPr>
          <w:p w14:paraId="63C3FFF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37" w:type="dxa"/>
          </w:tcPr>
          <w:p w14:paraId="0E41249B">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14" w:type="dxa"/>
          </w:tcPr>
          <w:p w14:paraId="159C7D42">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80" w:type="dxa"/>
          </w:tcPr>
          <w:p w14:paraId="7D7B86C2">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49" w:type="dxa"/>
          </w:tcPr>
          <w:p w14:paraId="08E2F6B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36A0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dxa"/>
          </w:tcPr>
          <w:p w14:paraId="702F501A">
            <w:pPr>
              <w:adjustRightInd w:val="0"/>
              <w:snapToGrid w:val="0"/>
              <w:spacing w:before="24" w:beforeLines="10" w:after="24" w:afterLines="10"/>
              <w:ind w:left="21" w:leftChars="10" w:right="21" w:rightChars="10"/>
              <w:jc w:val="center"/>
              <w:rPr>
                <w:rFonts w:ascii="仿宋" w:hAnsi="仿宋" w:eastAsia="仿宋" w:cs="宋体"/>
                <w:color w:val="auto"/>
                <w:szCs w:val="21"/>
              </w:rPr>
            </w:pPr>
          </w:p>
          <w:p w14:paraId="5ACAFCFA">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301" w:type="dxa"/>
          </w:tcPr>
          <w:p w14:paraId="07619EDD">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73" w:type="dxa"/>
          </w:tcPr>
          <w:p w14:paraId="0D321A2D">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37" w:type="dxa"/>
          </w:tcPr>
          <w:p w14:paraId="7502A7B8">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14" w:type="dxa"/>
          </w:tcPr>
          <w:p w14:paraId="4DE4DD1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80" w:type="dxa"/>
          </w:tcPr>
          <w:p w14:paraId="5C51127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49" w:type="dxa"/>
          </w:tcPr>
          <w:p w14:paraId="06117AA7">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r w14:paraId="7E252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dxa"/>
          </w:tcPr>
          <w:p w14:paraId="16B18046">
            <w:pPr>
              <w:adjustRightInd w:val="0"/>
              <w:snapToGrid w:val="0"/>
              <w:spacing w:before="24" w:beforeLines="10" w:after="24" w:afterLines="10"/>
              <w:ind w:left="21" w:leftChars="10" w:right="21" w:rightChars="10"/>
              <w:jc w:val="center"/>
              <w:rPr>
                <w:rFonts w:ascii="仿宋" w:hAnsi="仿宋" w:eastAsia="仿宋" w:cs="宋体"/>
                <w:color w:val="auto"/>
                <w:szCs w:val="21"/>
              </w:rPr>
            </w:pPr>
          </w:p>
          <w:p w14:paraId="770832D0">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301" w:type="dxa"/>
          </w:tcPr>
          <w:p w14:paraId="53F6157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73" w:type="dxa"/>
          </w:tcPr>
          <w:p w14:paraId="7BD6FD1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37" w:type="dxa"/>
          </w:tcPr>
          <w:p w14:paraId="333E313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214" w:type="dxa"/>
          </w:tcPr>
          <w:p w14:paraId="66ADFD73">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680" w:type="dxa"/>
          </w:tcPr>
          <w:p w14:paraId="593C0878">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c>
          <w:tcPr>
            <w:tcW w:w="1149" w:type="dxa"/>
          </w:tcPr>
          <w:p w14:paraId="40D29771">
            <w:pPr>
              <w:adjustRightInd w:val="0"/>
              <w:snapToGrid w:val="0"/>
              <w:spacing w:before="24" w:beforeLines="10" w:after="24" w:afterLines="10"/>
              <w:ind w:left="21" w:leftChars="10" w:right="21" w:rightChars="10"/>
              <w:jc w:val="center"/>
              <w:rPr>
                <w:rFonts w:ascii="仿宋" w:hAnsi="仿宋" w:eastAsia="仿宋" w:cs="宋体"/>
                <w:color w:val="auto"/>
                <w:szCs w:val="21"/>
              </w:rPr>
            </w:pPr>
          </w:p>
        </w:tc>
      </w:tr>
    </w:tbl>
    <w:p w14:paraId="083F783F">
      <w:pPr>
        <w:spacing w:line="360" w:lineRule="auto"/>
        <w:rPr>
          <w:rFonts w:ascii="仿宋" w:hAnsi="仿宋" w:eastAsia="仿宋" w:cs="宋体"/>
          <w:color w:val="auto"/>
          <w:szCs w:val="21"/>
        </w:rPr>
      </w:pPr>
      <w:r>
        <w:rPr>
          <w:rFonts w:hint="eastAsia" w:ascii="仿宋" w:hAnsi="仿宋" w:eastAsia="仿宋" w:cs="宋体"/>
          <w:color w:val="auto"/>
          <w:szCs w:val="21"/>
        </w:rPr>
        <w:t>说明：响应供应商应按本文件第四章评分细则中业绩打分项的相关要求填写本表并按要求附</w:t>
      </w:r>
      <w:r>
        <w:rPr>
          <w:rFonts w:hint="eastAsia" w:ascii="仿宋" w:hAnsi="仿宋" w:eastAsia="仿宋" w:cs="宋体"/>
          <w:color w:val="auto"/>
          <w:spacing w:val="-6"/>
          <w:szCs w:val="21"/>
        </w:rPr>
        <w:t>相关资料</w:t>
      </w:r>
      <w:r>
        <w:rPr>
          <w:rFonts w:hint="eastAsia" w:ascii="仿宋" w:hAnsi="仿宋" w:eastAsia="仿宋" w:cs="宋体"/>
          <w:color w:val="auto"/>
          <w:szCs w:val="21"/>
        </w:rPr>
        <w:t>。</w:t>
      </w:r>
    </w:p>
    <w:p w14:paraId="70714F84">
      <w:pPr>
        <w:rPr>
          <w:rFonts w:hint="eastAsia" w:ascii="仿宋" w:hAnsi="仿宋" w:eastAsia="仿宋" w:cs="宋体"/>
          <w:b/>
          <w:bCs/>
          <w:color w:val="auto"/>
          <w:sz w:val="24"/>
        </w:rPr>
      </w:pPr>
      <w:bookmarkStart w:id="278" w:name="_Toc29498"/>
      <w:bookmarkStart w:id="279" w:name="_Toc432149014"/>
      <w:bookmarkStart w:id="280" w:name="_Toc422466737"/>
      <w:bookmarkStart w:id="281" w:name="_Toc149035963"/>
      <w:r>
        <w:rPr>
          <w:rFonts w:hint="eastAsia" w:ascii="仿宋" w:hAnsi="仿宋" w:eastAsia="仿宋" w:cs="宋体"/>
          <w:b/>
          <w:bCs/>
          <w:color w:val="auto"/>
          <w:sz w:val="24"/>
        </w:rPr>
        <w:br w:type="page"/>
      </w:r>
    </w:p>
    <w:p w14:paraId="558A47E9">
      <w:pPr>
        <w:tabs>
          <w:tab w:val="left" w:pos="360"/>
          <w:tab w:val="left" w:pos="540"/>
        </w:tabs>
        <w:autoSpaceDE w:val="0"/>
        <w:autoSpaceDN w:val="0"/>
        <w:adjustRightInd w:val="0"/>
        <w:outlineLvl w:val="1"/>
        <w:rPr>
          <w:rFonts w:ascii="仿宋" w:hAnsi="仿宋" w:eastAsia="仿宋" w:cs="宋体"/>
          <w:b/>
          <w:bCs/>
          <w:color w:val="auto"/>
          <w:szCs w:val="21"/>
        </w:rPr>
      </w:pPr>
      <w:bookmarkStart w:id="282" w:name="_Toc3814"/>
      <w:r>
        <w:rPr>
          <w:rFonts w:hint="eastAsia" w:ascii="仿宋" w:hAnsi="仿宋" w:eastAsia="仿宋" w:cs="宋体"/>
          <w:b/>
          <w:bCs/>
          <w:color w:val="auto"/>
          <w:sz w:val="24"/>
        </w:rPr>
        <w:t>9.供应商的资格声明</w:t>
      </w:r>
      <w:bookmarkEnd w:id="278"/>
      <w:bookmarkEnd w:id="279"/>
      <w:bookmarkEnd w:id="280"/>
      <w:bookmarkEnd w:id="281"/>
      <w:bookmarkEnd w:id="282"/>
    </w:p>
    <w:p w14:paraId="257A1C9B">
      <w:pPr>
        <w:rPr>
          <w:rFonts w:ascii="仿宋" w:hAnsi="仿宋" w:eastAsia="仿宋" w:cs="宋体"/>
          <w:color w:val="auto"/>
          <w:szCs w:val="21"/>
        </w:rPr>
      </w:pPr>
    </w:p>
    <w:p w14:paraId="6866675B">
      <w:pPr>
        <w:spacing w:before="60" w:after="60"/>
        <w:rPr>
          <w:rFonts w:ascii="仿宋" w:hAnsi="仿宋" w:eastAsia="仿宋"/>
          <w:color w:val="auto"/>
          <w:szCs w:val="21"/>
        </w:rPr>
      </w:pPr>
      <w:r>
        <w:rPr>
          <w:rFonts w:hint="eastAsia" w:ascii="仿宋" w:hAnsi="仿宋" w:eastAsia="仿宋"/>
          <w:color w:val="auto"/>
          <w:szCs w:val="21"/>
          <w:lang w:eastAsia="zh-CN"/>
        </w:rPr>
        <w:t>1.</w:t>
      </w:r>
      <w:r>
        <w:rPr>
          <w:rFonts w:hint="eastAsia" w:ascii="仿宋" w:hAnsi="仿宋" w:eastAsia="仿宋"/>
          <w:color w:val="auto"/>
          <w:szCs w:val="21"/>
        </w:rPr>
        <w:t>名称及基本情况：</w:t>
      </w:r>
    </w:p>
    <w:p w14:paraId="6F3E9BAE">
      <w:pPr>
        <w:spacing w:before="100" w:after="100"/>
        <w:rPr>
          <w:rFonts w:ascii="仿宋" w:hAnsi="仿宋" w:eastAsia="仿宋"/>
          <w:color w:val="auto"/>
          <w:szCs w:val="21"/>
        </w:rPr>
      </w:pPr>
      <w:r>
        <w:rPr>
          <w:rFonts w:hint="eastAsia" w:ascii="仿宋" w:hAnsi="仿宋" w:eastAsia="仿宋"/>
          <w:color w:val="auto"/>
          <w:szCs w:val="21"/>
        </w:rPr>
        <w:t>（</w:t>
      </w:r>
      <w:r>
        <w:rPr>
          <w:rFonts w:ascii="仿宋" w:hAnsi="仿宋" w:eastAsia="仿宋"/>
          <w:color w:val="auto"/>
          <w:szCs w:val="21"/>
        </w:rPr>
        <w:t>1</w:t>
      </w:r>
      <w:r>
        <w:rPr>
          <w:rFonts w:hint="eastAsia" w:ascii="仿宋" w:hAnsi="仿宋" w:eastAsia="仿宋"/>
          <w:color w:val="auto"/>
          <w:szCs w:val="21"/>
        </w:rPr>
        <w:t>）供应商名称：</w:t>
      </w:r>
    </w:p>
    <w:p w14:paraId="56DDEEDB">
      <w:pPr>
        <w:tabs>
          <w:tab w:val="left" w:pos="4320"/>
        </w:tabs>
        <w:spacing w:before="100" w:after="100"/>
        <w:rPr>
          <w:rFonts w:ascii="仿宋" w:hAnsi="仿宋" w:eastAsia="仿宋"/>
          <w:color w:val="auto"/>
          <w:szCs w:val="21"/>
        </w:rPr>
      </w:pPr>
      <w:r>
        <w:rPr>
          <w:rFonts w:hint="eastAsia" w:ascii="仿宋" w:hAnsi="仿宋" w:eastAsia="仿宋"/>
          <w:color w:val="auto"/>
          <w:szCs w:val="21"/>
        </w:rPr>
        <w:t>（</w:t>
      </w:r>
      <w:r>
        <w:rPr>
          <w:rFonts w:ascii="仿宋" w:hAnsi="仿宋" w:eastAsia="仿宋"/>
          <w:color w:val="auto"/>
          <w:szCs w:val="21"/>
        </w:rPr>
        <w:t>2</w:t>
      </w:r>
      <w:r>
        <w:rPr>
          <w:rFonts w:hint="eastAsia" w:ascii="仿宋" w:hAnsi="仿宋" w:eastAsia="仿宋"/>
          <w:color w:val="auto"/>
          <w:szCs w:val="21"/>
        </w:rPr>
        <w:t>）地址：</w:t>
      </w:r>
      <w:r>
        <w:rPr>
          <w:rFonts w:ascii="仿宋" w:hAnsi="仿宋" w:eastAsia="仿宋"/>
          <w:color w:val="auto"/>
          <w:szCs w:val="21"/>
        </w:rPr>
        <w:tab/>
      </w:r>
    </w:p>
    <w:p w14:paraId="2E5A443C">
      <w:pPr>
        <w:tabs>
          <w:tab w:val="left" w:pos="4320"/>
        </w:tabs>
        <w:spacing w:before="100" w:after="100"/>
        <w:ind w:firstLine="539" w:firstLineChars="257"/>
        <w:rPr>
          <w:rFonts w:ascii="仿宋" w:hAnsi="仿宋" w:eastAsia="仿宋"/>
          <w:color w:val="auto"/>
          <w:szCs w:val="21"/>
        </w:rPr>
      </w:pPr>
      <w:r>
        <w:rPr>
          <w:rFonts w:hint="eastAsia" w:ascii="仿宋" w:hAnsi="仿宋" w:eastAsia="仿宋"/>
          <w:color w:val="auto"/>
          <w:szCs w:val="21"/>
        </w:rPr>
        <w:t>邮编：</w:t>
      </w:r>
    </w:p>
    <w:p w14:paraId="1F9E61B2">
      <w:pPr>
        <w:tabs>
          <w:tab w:val="left" w:pos="600"/>
          <w:tab w:val="left" w:pos="4320"/>
        </w:tabs>
        <w:spacing w:before="100" w:after="100"/>
        <w:ind w:firstLine="525" w:firstLineChars="250"/>
        <w:rPr>
          <w:rFonts w:ascii="仿宋" w:hAnsi="仿宋" w:eastAsia="仿宋"/>
          <w:color w:val="auto"/>
          <w:szCs w:val="21"/>
        </w:rPr>
      </w:pPr>
      <w:r>
        <w:rPr>
          <w:rFonts w:hint="eastAsia" w:ascii="仿宋" w:hAnsi="仿宋" w:eastAsia="仿宋"/>
          <w:color w:val="auto"/>
          <w:szCs w:val="21"/>
        </w:rPr>
        <w:t>电话：</w:t>
      </w:r>
    </w:p>
    <w:p w14:paraId="2314A680">
      <w:pPr>
        <w:tabs>
          <w:tab w:val="left" w:pos="600"/>
          <w:tab w:val="left" w:pos="4320"/>
        </w:tabs>
        <w:spacing w:before="100" w:after="100"/>
        <w:ind w:firstLine="525" w:firstLineChars="250"/>
        <w:rPr>
          <w:rFonts w:ascii="仿宋" w:hAnsi="仿宋" w:eastAsia="仿宋"/>
          <w:color w:val="auto"/>
          <w:szCs w:val="21"/>
        </w:rPr>
      </w:pPr>
      <w:r>
        <w:rPr>
          <w:rFonts w:hint="eastAsia" w:ascii="仿宋" w:hAnsi="仿宋" w:eastAsia="仿宋"/>
          <w:color w:val="auto"/>
          <w:szCs w:val="21"/>
        </w:rPr>
        <w:t>传真：</w:t>
      </w:r>
    </w:p>
    <w:p w14:paraId="67CA51F2">
      <w:pPr>
        <w:spacing w:before="100" w:after="100"/>
        <w:rPr>
          <w:rFonts w:ascii="仿宋" w:hAnsi="仿宋" w:eastAsia="仿宋"/>
          <w:color w:val="auto"/>
          <w:szCs w:val="21"/>
          <w:u w:val="single"/>
        </w:rPr>
      </w:pPr>
      <w:r>
        <w:rPr>
          <w:rFonts w:hint="eastAsia" w:ascii="仿宋" w:hAnsi="仿宋" w:eastAsia="仿宋"/>
          <w:color w:val="auto"/>
          <w:szCs w:val="21"/>
        </w:rPr>
        <w:t>（</w:t>
      </w:r>
      <w:r>
        <w:rPr>
          <w:rFonts w:ascii="仿宋" w:hAnsi="仿宋" w:eastAsia="仿宋"/>
          <w:color w:val="auto"/>
          <w:szCs w:val="21"/>
        </w:rPr>
        <w:t>3</w:t>
      </w:r>
      <w:r>
        <w:rPr>
          <w:rFonts w:hint="eastAsia" w:ascii="仿宋" w:hAnsi="仿宋" w:eastAsia="仿宋"/>
          <w:color w:val="auto"/>
          <w:szCs w:val="21"/>
        </w:rPr>
        <w:t>）成立或注册日期：</w:t>
      </w:r>
    </w:p>
    <w:p w14:paraId="32F183F8">
      <w:pPr>
        <w:spacing w:before="100" w:after="100"/>
        <w:rPr>
          <w:rFonts w:ascii="仿宋" w:hAnsi="仿宋" w:eastAsia="仿宋"/>
          <w:color w:val="auto"/>
          <w:szCs w:val="21"/>
        </w:rPr>
      </w:pPr>
      <w:r>
        <w:rPr>
          <w:rFonts w:hint="eastAsia" w:ascii="仿宋" w:hAnsi="仿宋" w:eastAsia="仿宋"/>
          <w:color w:val="auto"/>
          <w:szCs w:val="21"/>
        </w:rPr>
        <w:t>（</w:t>
      </w:r>
      <w:r>
        <w:rPr>
          <w:rFonts w:ascii="仿宋" w:hAnsi="仿宋" w:eastAsia="仿宋"/>
          <w:color w:val="auto"/>
          <w:szCs w:val="21"/>
        </w:rPr>
        <w:t>4</w:t>
      </w:r>
      <w:r>
        <w:rPr>
          <w:rFonts w:hint="eastAsia" w:ascii="仿宋" w:hAnsi="仿宋" w:eastAsia="仿宋"/>
          <w:color w:val="auto"/>
          <w:szCs w:val="21"/>
        </w:rPr>
        <w:t>）公司性质：</w:t>
      </w:r>
    </w:p>
    <w:p w14:paraId="0E6FB356">
      <w:pPr>
        <w:spacing w:before="100" w:after="100"/>
        <w:rPr>
          <w:rFonts w:ascii="仿宋" w:hAnsi="仿宋" w:eastAsia="仿宋"/>
          <w:color w:val="auto"/>
          <w:szCs w:val="21"/>
        </w:rPr>
      </w:pPr>
      <w:r>
        <w:rPr>
          <w:rFonts w:hint="eastAsia" w:ascii="仿宋" w:hAnsi="仿宋" w:eastAsia="仿宋"/>
          <w:color w:val="auto"/>
          <w:szCs w:val="21"/>
        </w:rPr>
        <w:t>（</w:t>
      </w:r>
      <w:r>
        <w:rPr>
          <w:rFonts w:ascii="仿宋" w:hAnsi="仿宋" w:eastAsia="仿宋"/>
          <w:color w:val="auto"/>
          <w:szCs w:val="21"/>
        </w:rPr>
        <w:t>5</w:t>
      </w:r>
      <w:r>
        <w:rPr>
          <w:rFonts w:hint="eastAsia" w:ascii="仿宋" w:hAnsi="仿宋" w:eastAsia="仿宋"/>
          <w:color w:val="auto"/>
          <w:szCs w:val="21"/>
        </w:rPr>
        <w:t>）法定代表人或主要负责人：</w:t>
      </w:r>
    </w:p>
    <w:p w14:paraId="5CE47143">
      <w:pPr>
        <w:spacing w:before="100" w:after="100"/>
        <w:rPr>
          <w:rFonts w:ascii="仿宋" w:hAnsi="仿宋" w:eastAsia="仿宋"/>
          <w:color w:val="auto"/>
          <w:szCs w:val="21"/>
          <w:u w:val="single"/>
        </w:rPr>
      </w:pPr>
      <w:r>
        <w:rPr>
          <w:rFonts w:hint="eastAsia" w:ascii="仿宋" w:hAnsi="仿宋" w:eastAsia="仿宋"/>
          <w:color w:val="auto"/>
          <w:szCs w:val="21"/>
        </w:rPr>
        <w:t>（</w:t>
      </w:r>
      <w:r>
        <w:rPr>
          <w:rFonts w:ascii="仿宋" w:hAnsi="仿宋" w:eastAsia="仿宋"/>
          <w:color w:val="auto"/>
          <w:szCs w:val="21"/>
        </w:rPr>
        <w:t>6</w:t>
      </w:r>
      <w:r>
        <w:rPr>
          <w:rFonts w:hint="eastAsia" w:ascii="仿宋" w:hAnsi="仿宋" w:eastAsia="仿宋"/>
          <w:color w:val="auto"/>
          <w:szCs w:val="21"/>
        </w:rPr>
        <w:t>）职员人数：</w:t>
      </w:r>
    </w:p>
    <w:p w14:paraId="64B1900A">
      <w:pPr>
        <w:spacing w:before="100" w:after="100"/>
        <w:rPr>
          <w:rFonts w:ascii="仿宋" w:hAnsi="仿宋" w:eastAsia="仿宋"/>
          <w:color w:val="auto"/>
          <w:szCs w:val="21"/>
          <w:u w:val="single"/>
        </w:rPr>
      </w:pPr>
      <w:r>
        <w:rPr>
          <w:rFonts w:hint="eastAsia" w:ascii="仿宋" w:hAnsi="仿宋" w:eastAsia="仿宋"/>
          <w:color w:val="auto"/>
          <w:szCs w:val="21"/>
        </w:rPr>
        <w:t>（</w:t>
      </w:r>
      <w:r>
        <w:rPr>
          <w:rFonts w:ascii="仿宋" w:hAnsi="仿宋" w:eastAsia="仿宋"/>
          <w:color w:val="auto"/>
          <w:szCs w:val="21"/>
        </w:rPr>
        <w:t>7</w:t>
      </w:r>
      <w:r>
        <w:rPr>
          <w:rFonts w:hint="eastAsia" w:ascii="仿宋" w:hAnsi="仿宋" w:eastAsia="仿宋"/>
          <w:color w:val="auto"/>
          <w:szCs w:val="21"/>
        </w:rPr>
        <w:t>）注册资本：</w:t>
      </w:r>
    </w:p>
    <w:p w14:paraId="61D73A9C">
      <w:pPr>
        <w:spacing w:before="100" w:after="100"/>
        <w:rPr>
          <w:rFonts w:ascii="仿宋" w:hAnsi="仿宋" w:eastAsia="仿宋"/>
          <w:color w:val="auto"/>
          <w:szCs w:val="21"/>
          <w:u w:val="single"/>
        </w:rPr>
      </w:pPr>
      <w:r>
        <w:rPr>
          <w:rFonts w:hint="eastAsia" w:ascii="仿宋" w:hAnsi="仿宋" w:eastAsia="仿宋"/>
          <w:color w:val="auto"/>
          <w:szCs w:val="21"/>
        </w:rPr>
        <w:t>（</w:t>
      </w:r>
      <w:r>
        <w:rPr>
          <w:rFonts w:ascii="仿宋" w:hAnsi="仿宋" w:eastAsia="仿宋"/>
          <w:color w:val="auto"/>
          <w:szCs w:val="21"/>
        </w:rPr>
        <w:t>8</w:t>
      </w:r>
      <w:r>
        <w:rPr>
          <w:rFonts w:hint="eastAsia" w:ascii="仿宋" w:hAnsi="仿宋" w:eastAsia="仿宋"/>
          <w:color w:val="auto"/>
          <w:szCs w:val="21"/>
        </w:rPr>
        <w:t>）实收资本：</w:t>
      </w:r>
    </w:p>
    <w:p w14:paraId="7D67E35A">
      <w:pPr>
        <w:spacing w:before="100" w:after="100"/>
        <w:rPr>
          <w:rFonts w:ascii="仿宋" w:hAnsi="仿宋" w:eastAsia="仿宋"/>
          <w:color w:val="auto"/>
          <w:szCs w:val="21"/>
        </w:rPr>
      </w:pPr>
      <w:r>
        <w:rPr>
          <w:rFonts w:hint="eastAsia" w:ascii="仿宋" w:hAnsi="仿宋" w:eastAsia="仿宋"/>
          <w:color w:val="auto"/>
          <w:szCs w:val="21"/>
        </w:rPr>
        <w:t>（</w:t>
      </w:r>
      <w:r>
        <w:rPr>
          <w:rFonts w:ascii="仿宋" w:hAnsi="仿宋" w:eastAsia="仿宋"/>
          <w:color w:val="auto"/>
          <w:szCs w:val="21"/>
        </w:rPr>
        <w:t>9</w:t>
      </w:r>
      <w:r>
        <w:rPr>
          <w:rFonts w:hint="eastAsia" w:ascii="仿宋" w:hAnsi="仿宋" w:eastAsia="仿宋"/>
          <w:color w:val="auto"/>
          <w:szCs w:val="21"/>
        </w:rPr>
        <w:t>）近一年资产负债表：</w:t>
      </w:r>
    </w:p>
    <w:p w14:paraId="5E893302">
      <w:pPr>
        <w:spacing w:before="100" w:after="100"/>
        <w:ind w:firstLine="447" w:firstLineChars="213"/>
        <w:rPr>
          <w:rFonts w:ascii="仿宋" w:hAnsi="仿宋" w:eastAsia="仿宋"/>
          <w:color w:val="auto"/>
          <w:szCs w:val="21"/>
        </w:rPr>
      </w:pPr>
      <w:r>
        <w:rPr>
          <w:rFonts w:ascii="仿宋" w:hAnsi="仿宋" w:eastAsia="仿宋"/>
          <w:color w:val="auto"/>
          <w:szCs w:val="21"/>
        </w:rPr>
        <w:t xml:space="preserve">a </w:t>
      </w:r>
      <w:r>
        <w:rPr>
          <w:rFonts w:hint="eastAsia" w:ascii="仿宋" w:hAnsi="仿宋" w:eastAsia="仿宋"/>
          <w:color w:val="auto"/>
          <w:szCs w:val="21"/>
        </w:rPr>
        <w:t>固定资产：</w:t>
      </w:r>
    </w:p>
    <w:p w14:paraId="02F5A672">
      <w:pPr>
        <w:spacing w:before="100" w:after="100"/>
        <w:ind w:firstLine="240"/>
        <w:rPr>
          <w:rFonts w:ascii="仿宋" w:hAnsi="仿宋" w:eastAsia="仿宋"/>
          <w:color w:val="auto"/>
          <w:szCs w:val="21"/>
        </w:rPr>
      </w:pPr>
      <w:r>
        <w:rPr>
          <w:rFonts w:hint="eastAsia" w:ascii="仿宋" w:hAnsi="仿宋" w:eastAsia="仿宋"/>
          <w:color w:val="auto"/>
          <w:szCs w:val="21"/>
        </w:rPr>
        <w:t>原值：</w:t>
      </w:r>
    </w:p>
    <w:p w14:paraId="14F6AE94">
      <w:pPr>
        <w:spacing w:before="100" w:after="100"/>
        <w:ind w:firstLine="240"/>
        <w:rPr>
          <w:rFonts w:ascii="仿宋" w:hAnsi="仿宋" w:eastAsia="仿宋"/>
          <w:color w:val="auto"/>
          <w:szCs w:val="21"/>
        </w:rPr>
      </w:pPr>
      <w:r>
        <w:rPr>
          <w:rFonts w:hint="eastAsia" w:ascii="仿宋" w:hAnsi="仿宋" w:eastAsia="仿宋"/>
          <w:color w:val="auto"/>
          <w:szCs w:val="21"/>
        </w:rPr>
        <w:t>净值：</w:t>
      </w:r>
    </w:p>
    <w:p w14:paraId="5422763E">
      <w:pPr>
        <w:spacing w:before="100" w:after="100"/>
        <w:ind w:firstLine="447" w:firstLineChars="213"/>
        <w:rPr>
          <w:rFonts w:ascii="仿宋" w:hAnsi="仿宋" w:eastAsia="仿宋"/>
          <w:color w:val="auto"/>
          <w:szCs w:val="21"/>
        </w:rPr>
      </w:pPr>
      <w:r>
        <w:rPr>
          <w:rFonts w:ascii="仿宋" w:hAnsi="仿宋" w:eastAsia="仿宋"/>
          <w:color w:val="auto"/>
          <w:szCs w:val="21"/>
        </w:rPr>
        <w:t xml:space="preserve">b </w:t>
      </w:r>
      <w:r>
        <w:rPr>
          <w:rFonts w:hint="eastAsia" w:ascii="仿宋" w:hAnsi="仿宋" w:eastAsia="仿宋"/>
          <w:color w:val="auto"/>
          <w:szCs w:val="21"/>
        </w:rPr>
        <w:t>流动资金：</w:t>
      </w:r>
    </w:p>
    <w:p w14:paraId="6F70BCD9">
      <w:pPr>
        <w:spacing w:before="100" w:after="100"/>
        <w:ind w:firstLine="447" w:firstLineChars="213"/>
        <w:rPr>
          <w:rFonts w:ascii="仿宋" w:hAnsi="仿宋" w:eastAsia="仿宋"/>
          <w:color w:val="auto"/>
          <w:szCs w:val="21"/>
        </w:rPr>
      </w:pPr>
      <w:r>
        <w:rPr>
          <w:rFonts w:ascii="仿宋" w:hAnsi="仿宋" w:eastAsia="仿宋"/>
          <w:color w:val="auto"/>
          <w:szCs w:val="21"/>
        </w:rPr>
        <w:t xml:space="preserve">c </w:t>
      </w:r>
      <w:r>
        <w:rPr>
          <w:rFonts w:hint="eastAsia" w:ascii="仿宋" w:hAnsi="仿宋" w:eastAsia="仿宋"/>
          <w:color w:val="auto"/>
          <w:szCs w:val="21"/>
        </w:rPr>
        <w:t>长期负债：</w:t>
      </w:r>
    </w:p>
    <w:p w14:paraId="668C85B2">
      <w:pPr>
        <w:spacing w:before="100" w:after="100"/>
        <w:ind w:firstLine="447" w:firstLineChars="213"/>
        <w:rPr>
          <w:rFonts w:ascii="仿宋" w:hAnsi="仿宋" w:eastAsia="仿宋"/>
          <w:color w:val="auto"/>
          <w:szCs w:val="21"/>
        </w:rPr>
      </w:pPr>
      <w:r>
        <w:rPr>
          <w:rFonts w:ascii="仿宋" w:hAnsi="仿宋" w:eastAsia="仿宋"/>
          <w:color w:val="auto"/>
          <w:szCs w:val="21"/>
        </w:rPr>
        <w:t xml:space="preserve">d </w:t>
      </w:r>
      <w:r>
        <w:rPr>
          <w:rFonts w:hint="eastAsia" w:ascii="仿宋" w:hAnsi="仿宋" w:eastAsia="仿宋"/>
          <w:color w:val="auto"/>
          <w:szCs w:val="21"/>
        </w:rPr>
        <w:t>短期负债：</w:t>
      </w:r>
    </w:p>
    <w:p w14:paraId="73729E79">
      <w:pPr>
        <w:spacing w:before="100" w:after="100"/>
        <w:rPr>
          <w:rFonts w:ascii="仿宋" w:hAnsi="仿宋" w:eastAsia="仿宋"/>
          <w:color w:val="auto"/>
          <w:szCs w:val="21"/>
        </w:rPr>
      </w:pPr>
      <w:r>
        <w:rPr>
          <w:rFonts w:hint="eastAsia" w:ascii="仿宋" w:hAnsi="仿宋" w:eastAsia="仿宋"/>
          <w:color w:val="auto"/>
          <w:szCs w:val="21"/>
          <w:lang w:eastAsia="zh-CN"/>
        </w:rPr>
        <w:t>2.</w:t>
      </w:r>
      <w:r>
        <w:rPr>
          <w:rFonts w:hint="eastAsia" w:ascii="仿宋" w:hAnsi="仿宋" w:eastAsia="仿宋"/>
          <w:color w:val="auto"/>
          <w:szCs w:val="21"/>
        </w:rPr>
        <w:t>近两年来招标货物或类似货物在国内的销售情况：</w:t>
      </w:r>
    </w:p>
    <w:p w14:paraId="7C809B30">
      <w:pPr>
        <w:spacing w:before="100" w:after="100"/>
        <w:rPr>
          <w:rFonts w:ascii="仿宋" w:hAnsi="仿宋" w:eastAsia="仿宋"/>
          <w:color w:val="auto"/>
          <w:szCs w:val="21"/>
        </w:rPr>
      </w:pPr>
      <w:r>
        <w:rPr>
          <w:rFonts w:hint="eastAsia" w:ascii="仿宋" w:hAnsi="仿宋" w:eastAsia="仿宋"/>
          <w:color w:val="auto"/>
          <w:szCs w:val="21"/>
          <w:lang w:eastAsia="zh-CN"/>
        </w:rPr>
        <w:t>3.</w:t>
      </w:r>
      <w:r>
        <w:rPr>
          <w:rFonts w:hint="eastAsia" w:ascii="仿宋" w:hAnsi="仿宋" w:eastAsia="仿宋"/>
          <w:color w:val="auto"/>
          <w:szCs w:val="21"/>
        </w:rPr>
        <w:t>同意为供应商提供响应货物的生产制造厂商（附制造厂商资格声明）</w:t>
      </w:r>
    </w:p>
    <w:p w14:paraId="3816AE27">
      <w:pPr>
        <w:spacing w:before="100" w:after="100"/>
        <w:rPr>
          <w:rFonts w:ascii="仿宋" w:hAnsi="仿宋" w:eastAsia="仿宋"/>
          <w:color w:val="auto"/>
          <w:szCs w:val="21"/>
        </w:rPr>
      </w:pPr>
      <w:r>
        <w:rPr>
          <w:rFonts w:hint="eastAsia" w:ascii="仿宋" w:hAnsi="仿宋" w:eastAsia="仿宋"/>
          <w:color w:val="auto"/>
          <w:szCs w:val="21"/>
          <w:lang w:eastAsia="zh-CN"/>
        </w:rPr>
        <w:t>4.</w:t>
      </w:r>
      <w:r>
        <w:rPr>
          <w:rFonts w:hint="eastAsia" w:ascii="仿宋" w:hAnsi="仿宋" w:eastAsia="仿宋"/>
          <w:color w:val="auto"/>
          <w:szCs w:val="21"/>
        </w:rPr>
        <w:t>由其他制造厂商提供和制造的货物部件：（如果有的填报）</w:t>
      </w:r>
    </w:p>
    <w:tbl>
      <w:tblPr>
        <w:tblStyle w:val="20"/>
        <w:tblW w:w="792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6"/>
        <w:gridCol w:w="3944"/>
      </w:tblGrid>
      <w:tr w14:paraId="3F93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vAlign w:val="center"/>
          </w:tcPr>
          <w:p w14:paraId="773F0B43">
            <w:pPr>
              <w:spacing w:before="100" w:after="100"/>
              <w:jc w:val="center"/>
              <w:rPr>
                <w:rFonts w:ascii="仿宋" w:hAnsi="仿宋" w:eastAsia="仿宋"/>
                <w:color w:val="auto"/>
                <w:szCs w:val="21"/>
              </w:rPr>
            </w:pPr>
            <w:r>
              <w:rPr>
                <w:rFonts w:hint="eastAsia" w:ascii="仿宋" w:hAnsi="仿宋" w:eastAsia="仿宋"/>
                <w:color w:val="auto"/>
                <w:szCs w:val="21"/>
              </w:rPr>
              <w:t>制造厂商名称和地址</w:t>
            </w:r>
          </w:p>
        </w:tc>
        <w:tc>
          <w:tcPr>
            <w:tcW w:w="3944" w:type="dxa"/>
            <w:vAlign w:val="center"/>
          </w:tcPr>
          <w:p w14:paraId="548BAE67">
            <w:pPr>
              <w:spacing w:before="100" w:after="100"/>
              <w:jc w:val="center"/>
              <w:rPr>
                <w:rFonts w:ascii="仿宋" w:hAnsi="仿宋" w:eastAsia="仿宋"/>
                <w:color w:val="auto"/>
                <w:szCs w:val="21"/>
              </w:rPr>
            </w:pPr>
            <w:r>
              <w:rPr>
                <w:rFonts w:hint="eastAsia" w:ascii="仿宋" w:hAnsi="仿宋" w:eastAsia="仿宋"/>
                <w:color w:val="auto"/>
                <w:szCs w:val="21"/>
              </w:rPr>
              <w:t>制造的部件</w:t>
            </w:r>
          </w:p>
        </w:tc>
      </w:tr>
      <w:tr w14:paraId="3A7A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vAlign w:val="center"/>
          </w:tcPr>
          <w:p w14:paraId="59688415">
            <w:pPr>
              <w:spacing w:before="100" w:after="100"/>
              <w:jc w:val="center"/>
              <w:rPr>
                <w:rFonts w:ascii="仿宋" w:hAnsi="仿宋" w:eastAsia="仿宋"/>
                <w:color w:val="auto"/>
                <w:szCs w:val="21"/>
              </w:rPr>
            </w:pPr>
          </w:p>
        </w:tc>
        <w:tc>
          <w:tcPr>
            <w:tcW w:w="3944" w:type="dxa"/>
            <w:vAlign w:val="center"/>
          </w:tcPr>
          <w:p w14:paraId="51230627">
            <w:pPr>
              <w:spacing w:before="100" w:after="100"/>
              <w:jc w:val="center"/>
              <w:rPr>
                <w:rFonts w:ascii="仿宋" w:hAnsi="仿宋" w:eastAsia="仿宋"/>
                <w:color w:val="auto"/>
                <w:szCs w:val="21"/>
              </w:rPr>
            </w:pPr>
          </w:p>
        </w:tc>
      </w:tr>
    </w:tbl>
    <w:p w14:paraId="771384CD">
      <w:pPr>
        <w:pStyle w:val="14"/>
        <w:spacing w:before="100" w:after="100"/>
        <w:rPr>
          <w:rFonts w:ascii="仿宋" w:hAnsi="仿宋" w:eastAsia="仿宋"/>
          <w:color w:val="auto"/>
          <w:szCs w:val="21"/>
        </w:rPr>
      </w:pPr>
    </w:p>
    <w:p w14:paraId="2647FF51">
      <w:pPr>
        <w:spacing w:before="100" w:after="100"/>
        <w:rPr>
          <w:rFonts w:ascii="仿宋" w:hAnsi="仿宋" w:eastAsia="仿宋"/>
          <w:color w:val="auto"/>
          <w:szCs w:val="21"/>
        </w:rPr>
      </w:pPr>
      <w:r>
        <w:rPr>
          <w:rFonts w:hint="eastAsia" w:ascii="仿宋" w:hAnsi="仿宋" w:eastAsia="仿宋"/>
          <w:color w:val="auto"/>
          <w:szCs w:val="21"/>
          <w:lang w:eastAsia="zh-CN"/>
        </w:rPr>
        <w:t>5.</w:t>
      </w:r>
      <w:r>
        <w:rPr>
          <w:rFonts w:hint="eastAsia" w:ascii="仿宋" w:hAnsi="仿宋" w:eastAsia="仿宋"/>
          <w:color w:val="auto"/>
          <w:szCs w:val="21"/>
        </w:rPr>
        <w:t>销售、服务网点分布（可另行附表）：</w:t>
      </w:r>
    </w:p>
    <w:tbl>
      <w:tblPr>
        <w:tblStyle w:val="20"/>
        <w:tblW w:w="7920" w:type="dxa"/>
        <w:tblInd w:w="288" w:type="dxa"/>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1800"/>
        <w:gridCol w:w="1719"/>
        <w:gridCol w:w="1701"/>
      </w:tblGrid>
      <w:tr w14:paraId="1D42D09F">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0" w:type="dxa"/>
            <w:vAlign w:val="center"/>
          </w:tcPr>
          <w:p w14:paraId="0AE12E56">
            <w:pPr>
              <w:spacing w:before="100" w:after="100"/>
              <w:jc w:val="center"/>
              <w:rPr>
                <w:rFonts w:ascii="仿宋" w:hAnsi="仿宋" w:eastAsia="仿宋"/>
                <w:color w:val="auto"/>
                <w:szCs w:val="21"/>
              </w:rPr>
            </w:pPr>
            <w:r>
              <w:rPr>
                <w:rFonts w:hint="eastAsia" w:ascii="仿宋" w:hAnsi="仿宋" w:eastAsia="仿宋"/>
                <w:color w:val="auto"/>
                <w:szCs w:val="21"/>
              </w:rPr>
              <w:t>销售服务网点名称和地址</w:t>
            </w:r>
          </w:p>
        </w:tc>
        <w:tc>
          <w:tcPr>
            <w:tcW w:w="1800" w:type="dxa"/>
            <w:vAlign w:val="center"/>
          </w:tcPr>
          <w:p w14:paraId="545ABCA2">
            <w:pPr>
              <w:spacing w:before="100" w:after="100"/>
              <w:jc w:val="center"/>
              <w:rPr>
                <w:rFonts w:ascii="仿宋" w:hAnsi="仿宋" w:eastAsia="仿宋"/>
                <w:color w:val="auto"/>
                <w:szCs w:val="21"/>
              </w:rPr>
            </w:pPr>
            <w:r>
              <w:rPr>
                <w:rFonts w:hint="eastAsia" w:ascii="仿宋" w:hAnsi="仿宋" w:eastAsia="仿宋"/>
                <w:color w:val="auto"/>
                <w:szCs w:val="21"/>
              </w:rPr>
              <w:t>主要服务范围</w:t>
            </w:r>
          </w:p>
        </w:tc>
        <w:tc>
          <w:tcPr>
            <w:tcW w:w="1719" w:type="dxa"/>
            <w:vAlign w:val="center"/>
          </w:tcPr>
          <w:p w14:paraId="1D20976D">
            <w:pPr>
              <w:spacing w:before="100" w:after="100"/>
              <w:jc w:val="center"/>
              <w:rPr>
                <w:rFonts w:ascii="仿宋" w:hAnsi="仿宋" w:eastAsia="仿宋"/>
                <w:color w:val="auto"/>
                <w:szCs w:val="21"/>
              </w:rPr>
            </w:pPr>
            <w:r>
              <w:rPr>
                <w:rFonts w:hint="eastAsia" w:ascii="仿宋" w:hAnsi="仿宋" w:eastAsia="仿宋"/>
                <w:color w:val="auto"/>
                <w:szCs w:val="21"/>
              </w:rPr>
              <w:t>服务人员数</w:t>
            </w:r>
          </w:p>
        </w:tc>
        <w:tc>
          <w:tcPr>
            <w:tcW w:w="1701" w:type="dxa"/>
            <w:vAlign w:val="center"/>
          </w:tcPr>
          <w:p w14:paraId="3217902F">
            <w:pPr>
              <w:spacing w:before="100" w:after="100"/>
              <w:jc w:val="center"/>
              <w:rPr>
                <w:rFonts w:ascii="仿宋" w:hAnsi="仿宋" w:eastAsia="仿宋"/>
                <w:color w:val="auto"/>
                <w:szCs w:val="21"/>
              </w:rPr>
            </w:pPr>
            <w:r>
              <w:rPr>
                <w:rFonts w:hint="eastAsia" w:ascii="仿宋" w:hAnsi="仿宋" w:eastAsia="仿宋"/>
                <w:color w:val="auto"/>
                <w:szCs w:val="21"/>
              </w:rPr>
              <w:t>内部等级</w:t>
            </w:r>
          </w:p>
        </w:tc>
      </w:tr>
      <w:tr w14:paraId="33E6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0" w:type="dxa"/>
            <w:vAlign w:val="center"/>
          </w:tcPr>
          <w:p w14:paraId="155C40EA">
            <w:pPr>
              <w:spacing w:before="100" w:after="100"/>
              <w:jc w:val="center"/>
              <w:rPr>
                <w:rFonts w:ascii="仿宋" w:hAnsi="仿宋" w:eastAsia="仿宋"/>
                <w:color w:val="auto"/>
                <w:szCs w:val="21"/>
              </w:rPr>
            </w:pPr>
          </w:p>
        </w:tc>
        <w:tc>
          <w:tcPr>
            <w:tcW w:w="1800" w:type="dxa"/>
            <w:vAlign w:val="center"/>
          </w:tcPr>
          <w:p w14:paraId="02E14ABC">
            <w:pPr>
              <w:spacing w:before="100" w:after="100"/>
              <w:jc w:val="center"/>
              <w:rPr>
                <w:rFonts w:ascii="仿宋" w:hAnsi="仿宋" w:eastAsia="仿宋"/>
                <w:color w:val="auto"/>
                <w:szCs w:val="21"/>
              </w:rPr>
            </w:pPr>
          </w:p>
        </w:tc>
        <w:tc>
          <w:tcPr>
            <w:tcW w:w="1719" w:type="dxa"/>
            <w:vAlign w:val="center"/>
          </w:tcPr>
          <w:p w14:paraId="58D4CF07">
            <w:pPr>
              <w:spacing w:before="100" w:after="100"/>
              <w:jc w:val="center"/>
              <w:rPr>
                <w:rFonts w:ascii="仿宋" w:hAnsi="仿宋" w:eastAsia="仿宋"/>
                <w:color w:val="auto"/>
                <w:szCs w:val="21"/>
              </w:rPr>
            </w:pPr>
          </w:p>
        </w:tc>
        <w:tc>
          <w:tcPr>
            <w:tcW w:w="1701" w:type="dxa"/>
            <w:vAlign w:val="center"/>
          </w:tcPr>
          <w:p w14:paraId="6F31C98E">
            <w:pPr>
              <w:spacing w:before="100" w:after="100"/>
              <w:jc w:val="center"/>
              <w:rPr>
                <w:rFonts w:ascii="仿宋" w:hAnsi="仿宋" w:eastAsia="仿宋"/>
                <w:color w:val="auto"/>
                <w:szCs w:val="21"/>
              </w:rPr>
            </w:pPr>
          </w:p>
        </w:tc>
      </w:tr>
    </w:tbl>
    <w:p w14:paraId="32F8D280">
      <w:pPr>
        <w:spacing w:before="100" w:after="100"/>
        <w:ind w:left="410" w:hanging="410"/>
        <w:rPr>
          <w:rFonts w:ascii="仿宋" w:hAnsi="仿宋" w:eastAsia="仿宋"/>
          <w:color w:val="auto"/>
          <w:szCs w:val="21"/>
        </w:rPr>
      </w:pPr>
    </w:p>
    <w:p w14:paraId="4A1AE021">
      <w:pPr>
        <w:spacing w:before="100" w:after="100" w:line="360" w:lineRule="auto"/>
        <w:ind w:left="410" w:hanging="410"/>
        <w:rPr>
          <w:rFonts w:ascii="仿宋" w:hAnsi="仿宋" w:eastAsia="仿宋"/>
          <w:color w:val="auto"/>
          <w:szCs w:val="21"/>
        </w:rPr>
      </w:pPr>
      <w:r>
        <w:rPr>
          <w:rFonts w:hint="eastAsia" w:ascii="仿宋" w:hAnsi="仿宋" w:eastAsia="仿宋"/>
          <w:color w:val="auto"/>
          <w:szCs w:val="21"/>
          <w:lang w:eastAsia="zh-CN"/>
        </w:rPr>
        <w:t>6.</w:t>
      </w:r>
      <w:r>
        <w:rPr>
          <w:rFonts w:hint="eastAsia" w:ascii="仿宋" w:hAnsi="仿宋" w:eastAsia="仿宋"/>
          <w:color w:val="auto"/>
          <w:szCs w:val="21"/>
        </w:rPr>
        <w:t>供应商认为需要声明的其他情况：</w:t>
      </w:r>
    </w:p>
    <w:p w14:paraId="3BCC57C8">
      <w:pPr>
        <w:autoSpaceDE w:val="0"/>
        <w:autoSpaceDN w:val="0"/>
        <w:adjustRightInd w:val="0"/>
        <w:spacing w:line="360" w:lineRule="auto"/>
        <w:jc w:val="left"/>
        <w:rPr>
          <w:rFonts w:ascii="仿宋" w:hAnsi="仿宋" w:eastAsia="仿宋"/>
          <w:bCs/>
          <w:color w:val="auto"/>
          <w:kern w:val="0"/>
        </w:rPr>
      </w:pPr>
      <w:r>
        <w:rPr>
          <w:rFonts w:ascii="仿宋" w:hAnsi="仿宋" w:eastAsia="仿宋"/>
          <w:bCs/>
          <w:color w:val="auto"/>
          <w:kern w:val="0"/>
        </w:rPr>
        <w:t xml:space="preserve">7 </w:t>
      </w:r>
      <w:r>
        <w:rPr>
          <w:rFonts w:hint="eastAsia" w:ascii="仿宋" w:hAnsi="仿宋" w:eastAsia="仿宋"/>
          <w:bCs/>
          <w:color w:val="auto"/>
          <w:kern w:val="0"/>
        </w:rPr>
        <w:t>．有关开户银行的名称和地址：</w:t>
      </w:r>
      <w:r>
        <w:rPr>
          <w:rFonts w:ascii="仿宋" w:hAnsi="仿宋" w:eastAsia="仿宋"/>
          <w:bCs/>
          <w:color w:val="auto"/>
          <w:kern w:val="0"/>
        </w:rPr>
        <w:t>__________________________________</w:t>
      </w:r>
    </w:p>
    <w:p w14:paraId="5C4C3693">
      <w:pPr>
        <w:autoSpaceDE w:val="0"/>
        <w:autoSpaceDN w:val="0"/>
        <w:adjustRightInd w:val="0"/>
        <w:spacing w:line="360" w:lineRule="auto"/>
        <w:jc w:val="left"/>
        <w:rPr>
          <w:rFonts w:ascii="仿宋" w:hAnsi="仿宋" w:eastAsia="仿宋"/>
          <w:bCs/>
          <w:color w:val="auto"/>
          <w:kern w:val="0"/>
        </w:rPr>
      </w:pPr>
      <w:r>
        <w:rPr>
          <w:rFonts w:ascii="仿宋" w:hAnsi="仿宋" w:eastAsia="仿宋"/>
          <w:bCs/>
          <w:color w:val="auto"/>
          <w:kern w:val="0"/>
        </w:rPr>
        <w:t xml:space="preserve">8 </w:t>
      </w:r>
      <w:r>
        <w:rPr>
          <w:rFonts w:hint="eastAsia" w:ascii="仿宋" w:hAnsi="仿宋" w:eastAsia="仿宋"/>
          <w:bCs/>
          <w:color w:val="auto"/>
          <w:kern w:val="0"/>
        </w:rPr>
        <w:t>．所属的集团公司，如有的话：</w:t>
      </w:r>
    </w:p>
    <w:p w14:paraId="45F7B015">
      <w:pPr>
        <w:autoSpaceDE w:val="0"/>
        <w:autoSpaceDN w:val="0"/>
        <w:adjustRightInd w:val="0"/>
        <w:spacing w:line="360" w:lineRule="auto"/>
        <w:jc w:val="left"/>
        <w:rPr>
          <w:rFonts w:ascii="仿宋" w:hAnsi="仿宋" w:eastAsia="仿宋"/>
          <w:bCs/>
          <w:color w:val="auto"/>
          <w:kern w:val="0"/>
        </w:rPr>
      </w:pPr>
      <w:r>
        <w:rPr>
          <w:rFonts w:ascii="仿宋" w:hAnsi="仿宋" w:eastAsia="仿宋"/>
          <w:bCs/>
          <w:color w:val="auto"/>
          <w:kern w:val="0"/>
        </w:rPr>
        <w:t xml:space="preserve">9 </w:t>
      </w:r>
      <w:r>
        <w:rPr>
          <w:rFonts w:hint="eastAsia" w:ascii="仿宋" w:hAnsi="仿宋" w:eastAsia="仿宋"/>
          <w:bCs/>
          <w:color w:val="auto"/>
          <w:kern w:val="0"/>
        </w:rPr>
        <w:t>．其他情况：</w:t>
      </w:r>
      <w:r>
        <w:rPr>
          <w:rFonts w:ascii="仿宋" w:hAnsi="仿宋" w:eastAsia="仿宋"/>
          <w:bCs/>
          <w:color w:val="auto"/>
          <w:kern w:val="0"/>
        </w:rPr>
        <w:t>__________________________________________</w:t>
      </w:r>
    </w:p>
    <w:p w14:paraId="746ADEC3">
      <w:pPr>
        <w:autoSpaceDE w:val="0"/>
        <w:autoSpaceDN w:val="0"/>
        <w:adjustRightInd w:val="0"/>
        <w:spacing w:line="360" w:lineRule="auto"/>
        <w:jc w:val="left"/>
        <w:rPr>
          <w:rFonts w:ascii="仿宋" w:hAnsi="仿宋" w:eastAsia="仿宋"/>
          <w:bCs/>
          <w:color w:val="auto"/>
          <w:kern w:val="0"/>
        </w:rPr>
      </w:pPr>
    </w:p>
    <w:p w14:paraId="095B299C">
      <w:pPr>
        <w:autoSpaceDE w:val="0"/>
        <w:autoSpaceDN w:val="0"/>
        <w:adjustRightInd w:val="0"/>
        <w:spacing w:line="360" w:lineRule="auto"/>
        <w:jc w:val="left"/>
        <w:rPr>
          <w:rFonts w:ascii="仿宋" w:hAnsi="仿宋" w:eastAsia="仿宋"/>
          <w:bCs/>
          <w:color w:val="auto"/>
          <w:kern w:val="0"/>
        </w:rPr>
      </w:pPr>
    </w:p>
    <w:p w14:paraId="6DDFA2D0">
      <w:pPr>
        <w:autoSpaceDE w:val="0"/>
        <w:autoSpaceDN w:val="0"/>
        <w:adjustRightInd w:val="0"/>
        <w:spacing w:line="360" w:lineRule="auto"/>
        <w:ind w:firstLine="420"/>
        <w:jc w:val="left"/>
        <w:rPr>
          <w:rFonts w:ascii="仿宋" w:hAnsi="仿宋" w:eastAsia="仿宋"/>
          <w:bCs/>
          <w:color w:val="auto"/>
          <w:kern w:val="0"/>
        </w:rPr>
      </w:pPr>
      <w:r>
        <w:rPr>
          <w:rFonts w:hint="eastAsia" w:ascii="仿宋" w:hAnsi="仿宋" w:eastAsia="仿宋"/>
          <w:bCs/>
          <w:color w:val="auto"/>
          <w:kern w:val="0"/>
        </w:rPr>
        <w:t>兹证明上述声明是真实、正确的，并提供了全部能提供的资料和数据，我们同意遵照贵方要求出示有关证明文件。</w:t>
      </w:r>
    </w:p>
    <w:p w14:paraId="1374AB1D">
      <w:pPr>
        <w:autoSpaceDE w:val="0"/>
        <w:autoSpaceDN w:val="0"/>
        <w:adjustRightInd w:val="0"/>
        <w:ind w:firstLine="420"/>
        <w:jc w:val="left"/>
        <w:rPr>
          <w:rFonts w:ascii="仿宋" w:hAnsi="仿宋" w:eastAsia="仿宋"/>
          <w:bCs/>
          <w:color w:val="auto"/>
          <w:kern w:val="0"/>
        </w:rPr>
      </w:pPr>
    </w:p>
    <w:p w14:paraId="3BC422AC">
      <w:pPr>
        <w:autoSpaceDE w:val="0"/>
        <w:autoSpaceDN w:val="0"/>
        <w:adjustRightInd w:val="0"/>
        <w:spacing w:line="360" w:lineRule="auto"/>
        <w:ind w:firstLine="420"/>
        <w:jc w:val="left"/>
        <w:rPr>
          <w:rFonts w:ascii="仿宋" w:hAnsi="仿宋" w:eastAsia="仿宋"/>
          <w:bCs/>
          <w:color w:val="auto"/>
          <w:kern w:val="0"/>
        </w:rPr>
      </w:pPr>
    </w:p>
    <w:p w14:paraId="0EE09153">
      <w:pPr>
        <w:rPr>
          <w:rFonts w:ascii="仿宋" w:hAnsi="仿宋" w:eastAsia="仿宋" w:cs="宋体"/>
          <w:color w:val="auto"/>
          <w:szCs w:val="21"/>
        </w:rPr>
      </w:pPr>
    </w:p>
    <w:p w14:paraId="6300E1D3">
      <w:pPr>
        <w:wordWrap w:val="0"/>
        <w:ind w:firstLine="420" w:firstLineChars="200"/>
        <w:jc w:val="right"/>
        <w:rPr>
          <w:rFonts w:ascii="仿宋" w:hAnsi="仿宋" w:eastAsia="仿宋" w:cs="宋体"/>
          <w:color w:val="auto"/>
          <w:szCs w:val="21"/>
        </w:rPr>
      </w:pPr>
      <w:r>
        <w:rPr>
          <w:rFonts w:hint="eastAsia" w:ascii="仿宋" w:hAnsi="仿宋" w:eastAsia="仿宋" w:cs="宋体"/>
          <w:color w:val="auto"/>
          <w:szCs w:val="21"/>
        </w:rPr>
        <w:t xml:space="preserve">供应商法定代表人或授权代表签字： </w:t>
      </w:r>
      <w:r>
        <w:rPr>
          <w:rFonts w:ascii="仿宋" w:hAnsi="仿宋" w:eastAsia="仿宋" w:cs="宋体"/>
          <w:color w:val="auto"/>
          <w:szCs w:val="21"/>
        </w:rPr>
        <w:t xml:space="preserve">     </w:t>
      </w:r>
    </w:p>
    <w:p w14:paraId="61591ABE">
      <w:pPr>
        <w:wordWrap w:val="0"/>
        <w:ind w:firstLine="420" w:firstLineChars="200"/>
        <w:jc w:val="right"/>
        <w:rPr>
          <w:rFonts w:ascii="仿宋" w:hAnsi="仿宋" w:eastAsia="仿宋" w:cs="宋体"/>
          <w:color w:val="auto"/>
          <w:szCs w:val="21"/>
        </w:rPr>
      </w:pPr>
      <w:r>
        <w:rPr>
          <w:rFonts w:hint="eastAsia" w:ascii="仿宋" w:hAnsi="仿宋" w:eastAsia="仿宋" w:cs="宋体"/>
          <w:color w:val="auto"/>
          <w:szCs w:val="21"/>
        </w:rPr>
        <w:t xml:space="preserve">供应商名称（签章）： </w:t>
      </w:r>
      <w:r>
        <w:rPr>
          <w:rFonts w:ascii="仿宋" w:hAnsi="仿宋" w:eastAsia="仿宋" w:cs="宋体"/>
          <w:color w:val="auto"/>
          <w:szCs w:val="21"/>
        </w:rPr>
        <w:t xml:space="preserve">     </w:t>
      </w:r>
    </w:p>
    <w:p w14:paraId="5953A29B">
      <w:pPr>
        <w:widowControl/>
        <w:wordWrap w:val="0"/>
        <w:jc w:val="right"/>
        <w:rPr>
          <w:rFonts w:ascii="仿宋" w:hAnsi="仿宋" w:eastAsia="仿宋" w:cs="宋体"/>
          <w:color w:val="auto"/>
          <w:szCs w:val="21"/>
        </w:rPr>
      </w:pPr>
      <w:r>
        <w:rPr>
          <w:rFonts w:hint="eastAsia" w:ascii="仿宋" w:hAnsi="仿宋" w:eastAsia="仿宋" w:cs="宋体"/>
          <w:color w:val="auto"/>
          <w:szCs w:val="21"/>
        </w:rPr>
        <w:t xml:space="preserve"> 时间： </w:t>
      </w:r>
      <w:r>
        <w:rPr>
          <w:rFonts w:ascii="仿宋" w:hAnsi="仿宋" w:eastAsia="仿宋" w:cs="宋体"/>
          <w:color w:val="auto"/>
          <w:szCs w:val="21"/>
        </w:rPr>
        <w:t xml:space="preserve">     </w:t>
      </w:r>
    </w:p>
    <w:p w14:paraId="483BEA82">
      <w:pPr>
        <w:widowControl/>
        <w:rPr>
          <w:rFonts w:ascii="仿宋" w:hAnsi="仿宋" w:eastAsia="仿宋"/>
          <w:color w:val="auto"/>
        </w:rPr>
      </w:pPr>
      <w:r>
        <w:rPr>
          <w:rFonts w:ascii="仿宋" w:hAnsi="仿宋" w:eastAsia="仿宋"/>
          <w:color w:val="auto"/>
        </w:rPr>
        <w:br w:type="page"/>
      </w:r>
    </w:p>
    <w:p w14:paraId="760C148E">
      <w:pPr>
        <w:autoSpaceDE w:val="0"/>
        <w:autoSpaceDN w:val="0"/>
        <w:adjustRightInd w:val="0"/>
        <w:spacing w:line="360" w:lineRule="auto"/>
        <w:ind w:left="3419" w:leftChars="1628"/>
        <w:jc w:val="left"/>
        <w:rPr>
          <w:rFonts w:ascii="仿宋" w:hAnsi="仿宋" w:eastAsia="仿宋"/>
          <w:bCs/>
          <w:color w:val="auto"/>
          <w:kern w:val="0"/>
        </w:rPr>
      </w:pPr>
    </w:p>
    <w:p w14:paraId="34575F12">
      <w:pPr>
        <w:tabs>
          <w:tab w:val="left" w:pos="360"/>
          <w:tab w:val="left" w:pos="540"/>
        </w:tabs>
        <w:autoSpaceDE w:val="0"/>
        <w:autoSpaceDN w:val="0"/>
        <w:adjustRightInd w:val="0"/>
        <w:outlineLvl w:val="1"/>
        <w:rPr>
          <w:rFonts w:ascii="仿宋" w:hAnsi="仿宋" w:eastAsia="仿宋" w:cs="宋体"/>
          <w:b/>
          <w:bCs/>
          <w:color w:val="auto"/>
          <w:sz w:val="24"/>
        </w:rPr>
      </w:pPr>
      <w:bookmarkStart w:id="283" w:name="_Toc11322"/>
      <w:bookmarkStart w:id="284" w:name="_Toc149035964"/>
      <w:bookmarkStart w:id="285" w:name="_Toc5306"/>
      <w:bookmarkStart w:id="286" w:name="_Toc259028731"/>
      <w:bookmarkStart w:id="287" w:name="_Toc450827823"/>
      <w:r>
        <w:rPr>
          <w:rFonts w:hint="eastAsia" w:ascii="仿宋" w:hAnsi="仿宋" w:eastAsia="仿宋" w:cs="宋体"/>
          <w:b/>
          <w:bCs/>
          <w:color w:val="auto"/>
          <w:sz w:val="24"/>
        </w:rPr>
        <w:t>1</w:t>
      </w:r>
      <w:r>
        <w:rPr>
          <w:rFonts w:ascii="仿宋" w:hAnsi="仿宋" w:eastAsia="仿宋" w:cs="宋体"/>
          <w:b/>
          <w:bCs/>
          <w:color w:val="auto"/>
          <w:sz w:val="24"/>
        </w:rPr>
        <w:t xml:space="preserve">0. </w:t>
      </w:r>
      <w:r>
        <w:rPr>
          <w:rFonts w:hint="eastAsia" w:ascii="仿宋" w:hAnsi="仿宋" w:eastAsia="仿宋" w:cs="宋体"/>
          <w:b/>
          <w:bCs/>
          <w:color w:val="auto"/>
          <w:sz w:val="24"/>
        </w:rPr>
        <w:t>资格证明文件</w:t>
      </w:r>
      <w:bookmarkEnd w:id="283"/>
      <w:bookmarkEnd w:id="284"/>
      <w:bookmarkEnd w:id="285"/>
    </w:p>
    <w:bookmarkEnd w:id="286"/>
    <w:bookmarkEnd w:id="287"/>
    <w:p w14:paraId="3447FD2F">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宋体"/>
          <w:color w:val="auto"/>
          <w:szCs w:val="21"/>
        </w:rPr>
      </w:pPr>
    </w:p>
    <w:p w14:paraId="3BCB0412">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宋体"/>
          <w:color w:val="auto"/>
          <w:szCs w:val="21"/>
        </w:rPr>
      </w:pPr>
      <w:r>
        <w:rPr>
          <w:rFonts w:hint="eastAsia" w:ascii="仿宋" w:hAnsi="仿宋" w:eastAsia="仿宋" w:cs="宋体"/>
          <w:color w:val="auto"/>
          <w:szCs w:val="21"/>
        </w:rPr>
        <w:t>提供第二章供应商须知要求的提供资格证明文件或按以下格式出具承诺函。</w:t>
      </w:r>
    </w:p>
    <w:p w14:paraId="538561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宋体"/>
          <w:b/>
          <w:color w:val="auto"/>
          <w:sz w:val="24"/>
          <w:szCs w:val="21"/>
        </w:rPr>
      </w:pPr>
    </w:p>
    <w:p w14:paraId="0AF8D4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宋体"/>
          <w:b/>
          <w:color w:val="auto"/>
          <w:sz w:val="24"/>
          <w:szCs w:val="21"/>
        </w:rPr>
      </w:pPr>
      <w:r>
        <w:rPr>
          <w:rFonts w:hint="eastAsia" w:ascii="仿宋" w:hAnsi="仿宋" w:eastAsia="仿宋" w:cs="宋体"/>
          <w:b/>
          <w:color w:val="auto"/>
          <w:sz w:val="24"/>
          <w:szCs w:val="21"/>
        </w:rPr>
        <w:t>资格条件承诺函</w:t>
      </w:r>
    </w:p>
    <w:p w14:paraId="0C631D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rPr>
        <w:t>采购人和采购代理机构：</w:t>
      </w:r>
    </w:p>
    <w:p w14:paraId="59463E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rPr>
        <w:t>我方在此声明，我方在参加本次政府采购活动时，具备《中华人民共和国政府采购法》第二十二条规定的条件：</w:t>
      </w:r>
    </w:p>
    <w:p w14:paraId="082415F0">
      <w:pPr>
        <w:keepNext w:val="0"/>
        <w:keepLines w:val="0"/>
        <w:pageBreakBefore w:val="0"/>
        <w:widowControl w:val="0"/>
        <w:kinsoku/>
        <w:overflowPunct/>
        <w:topLinePunct w:val="0"/>
        <w:autoSpaceDE/>
        <w:autoSpaceDN/>
        <w:bidi w:val="0"/>
        <w:adjustRightInd/>
        <w:snapToGrid/>
        <w:spacing w:line="360" w:lineRule="auto"/>
        <w:textAlignment w:val="auto"/>
        <w:rPr>
          <w:rFonts w:ascii="仿宋" w:hAnsi="仿宋" w:eastAsia="仿宋" w:cs="宋体"/>
          <w:color w:val="auto"/>
          <w:szCs w:val="21"/>
        </w:rPr>
      </w:pPr>
      <w:r>
        <w:rPr>
          <w:rFonts w:hint="eastAsia" w:ascii="仿宋" w:hAnsi="仿宋" w:eastAsia="仿宋" w:cs="宋体"/>
          <w:color w:val="auto"/>
          <w:szCs w:val="21"/>
        </w:rPr>
        <w:t>（</w:t>
      </w:r>
      <w:r>
        <w:rPr>
          <w:rFonts w:ascii="仿宋" w:hAnsi="仿宋" w:eastAsia="仿宋" w:cs="宋体"/>
          <w:color w:val="auto"/>
          <w:szCs w:val="21"/>
        </w:rPr>
        <w:t>1</w:t>
      </w:r>
      <w:r>
        <w:rPr>
          <w:rFonts w:hint="eastAsia" w:ascii="仿宋" w:hAnsi="仿宋" w:eastAsia="仿宋" w:cs="宋体"/>
          <w:color w:val="auto"/>
          <w:szCs w:val="21"/>
        </w:rPr>
        <w:t>）具有独立承担民事责任的能力；</w:t>
      </w:r>
    </w:p>
    <w:p w14:paraId="5AE47B78">
      <w:pPr>
        <w:keepNext w:val="0"/>
        <w:keepLines w:val="0"/>
        <w:pageBreakBefore w:val="0"/>
        <w:widowControl w:val="0"/>
        <w:kinsoku/>
        <w:overflowPunct/>
        <w:topLinePunct w:val="0"/>
        <w:autoSpaceDE/>
        <w:autoSpaceDN/>
        <w:bidi w:val="0"/>
        <w:adjustRightInd/>
        <w:snapToGrid/>
        <w:spacing w:line="360" w:lineRule="auto"/>
        <w:textAlignment w:val="auto"/>
        <w:rPr>
          <w:rFonts w:ascii="仿宋" w:hAnsi="仿宋" w:eastAsia="仿宋" w:cs="宋体"/>
          <w:color w:val="auto"/>
          <w:szCs w:val="21"/>
        </w:rPr>
      </w:pPr>
      <w:r>
        <w:rPr>
          <w:rFonts w:hint="eastAsia" w:ascii="仿宋" w:hAnsi="仿宋" w:eastAsia="仿宋" w:cs="宋体"/>
          <w:color w:val="auto"/>
          <w:szCs w:val="21"/>
        </w:rPr>
        <w:t>（</w:t>
      </w:r>
      <w:r>
        <w:rPr>
          <w:rFonts w:ascii="仿宋" w:hAnsi="仿宋" w:eastAsia="仿宋" w:cs="宋体"/>
          <w:color w:val="auto"/>
          <w:szCs w:val="21"/>
        </w:rPr>
        <w:t>2</w:t>
      </w:r>
      <w:r>
        <w:rPr>
          <w:rFonts w:hint="eastAsia" w:ascii="仿宋" w:hAnsi="仿宋" w:eastAsia="仿宋" w:cs="宋体"/>
          <w:color w:val="auto"/>
          <w:szCs w:val="21"/>
        </w:rPr>
        <w:t>）具有良好的商业信誉和健全的财务会计制度；</w:t>
      </w:r>
    </w:p>
    <w:p w14:paraId="50E9914A">
      <w:pPr>
        <w:keepNext w:val="0"/>
        <w:keepLines w:val="0"/>
        <w:pageBreakBefore w:val="0"/>
        <w:widowControl w:val="0"/>
        <w:kinsoku/>
        <w:overflowPunct/>
        <w:topLinePunct w:val="0"/>
        <w:autoSpaceDE/>
        <w:autoSpaceDN/>
        <w:bidi w:val="0"/>
        <w:adjustRightInd/>
        <w:snapToGrid/>
        <w:spacing w:line="360" w:lineRule="auto"/>
        <w:textAlignment w:val="auto"/>
        <w:rPr>
          <w:rFonts w:ascii="仿宋" w:hAnsi="仿宋" w:eastAsia="仿宋" w:cs="宋体"/>
          <w:color w:val="auto"/>
          <w:szCs w:val="21"/>
        </w:rPr>
      </w:pPr>
      <w:r>
        <w:rPr>
          <w:rFonts w:hint="eastAsia" w:ascii="仿宋" w:hAnsi="仿宋" w:eastAsia="仿宋" w:cs="宋体"/>
          <w:color w:val="auto"/>
          <w:szCs w:val="21"/>
        </w:rPr>
        <w:t>（</w:t>
      </w:r>
      <w:r>
        <w:rPr>
          <w:rFonts w:ascii="仿宋" w:hAnsi="仿宋" w:eastAsia="仿宋" w:cs="宋体"/>
          <w:color w:val="auto"/>
          <w:szCs w:val="21"/>
        </w:rPr>
        <w:t>3</w:t>
      </w:r>
      <w:r>
        <w:rPr>
          <w:rFonts w:hint="eastAsia" w:ascii="仿宋" w:hAnsi="仿宋" w:eastAsia="仿宋" w:cs="宋体"/>
          <w:color w:val="auto"/>
          <w:szCs w:val="21"/>
        </w:rPr>
        <w:t>）具有履行合同所必需的设备和专业技术能力；</w:t>
      </w:r>
    </w:p>
    <w:p w14:paraId="6CCB85FB">
      <w:pPr>
        <w:keepNext w:val="0"/>
        <w:keepLines w:val="0"/>
        <w:pageBreakBefore w:val="0"/>
        <w:widowControl w:val="0"/>
        <w:kinsoku/>
        <w:overflowPunct/>
        <w:topLinePunct w:val="0"/>
        <w:autoSpaceDE/>
        <w:autoSpaceDN/>
        <w:bidi w:val="0"/>
        <w:adjustRightInd/>
        <w:snapToGrid/>
        <w:spacing w:line="360" w:lineRule="auto"/>
        <w:textAlignment w:val="auto"/>
        <w:rPr>
          <w:rFonts w:ascii="仿宋" w:hAnsi="仿宋" w:eastAsia="仿宋" w:cs="宋体"/>
          <w:color w:val="auto"/>
          <w:szCs w:val="21"/>
        </w:rPr>
      </w:pPr>
      <w:r>
        <w:rPr>
          <w:rFonts w:hint="eastAsia" w:ascii="仿宋" w:hAnsi="仿宋" w:eastAsia="仿宋" w:cs="宋体"/>
          <w:color w:val="auto"/>
          <w:szCs w:val="21"/>
        </w:rPr>
        <w:t>（</w:t>
      </w:r>
      <w:r>
        <w:rPr>
          <w:rFonts w:ascii="仿宋" w:hAnsi="仿宋" w:eastAsia="仿宋" w:cs="宋体"/>
          <w:color w:val="auto"/>
          <w:szCs w:val="21"/>
        </w:rPr>
        <w:t>4</w:t>
      </w:r>
      <w:r>
        <w:rPr>
          <w:rFonts w:hint="eastAsia" w:ascii="仿宋" w:hAnsi="仿宋" w:eastAsia="仿宋" w:cs="宋体"/>
          <w:color w:val="auto"/>
          <w:szCs w:val="21"/>
        </w:rPr>
        <w:t>）有依法缴纳税收和社会保障资金的良好记录；</w:t>
      </w:r>
    </w:p>
    <w:p w14:paraId="76547F60">
      <w:pPr>
        <w:keepNext w:val="0"/>
        <w:keepLines w:val="0"/>
        <w:pageBreakBefore w:val="0"/>
        <w:widowControl w:val="0"/>
        <w:kinsoku/>
        <w:overflowPunct/>
        <w:topLinePunct w:val="0"/>
        <w:autoSpaceDE/>
        <w:autoSpaceDN/>
        <w:bidi w:val="0"/>
        <w:adjustRightInd/>
        <w:snapToGrid/>
        <w:spacing w:line="360" w:lineRule="auto"/>
        <w:textAlignment w:val="auto"/>
        <w:rPr>
          <w:rFonts w:ascii="仿宋" w:hAnsi="仿宋" w:eastAsia="仿宋" w:cs="宋体"/>
          <w:color w:val="auto"/>
          <w:szCs w:val="21"/>
        </w:rPr>
      </w:pPr>
      <w:r>
        <w:rPr>
          <w:rFonts w:hint="eastAsia" w:ascii="仿宋" w:hAnsi="仿宋" w:eastAsia="仿宋" w:cs="宋体"/>
          <w:color w:val="auto"/>
          <w:szCs w:val="21"/>
        </w:rPr>
        <w:t>（</w:t>
      </w:r>
      <w:r>
        <w:rPr>
          <w:rFonts w:ascii="仿宋" w:hAnsi="仿宋" w:eastAsia="仿宋" w:cs="宋体"/>
          <w:color w:val="auto"/>
          <w:szCs w:val="21"/>
        </w:rPr>
        <w:t>5</w:t>
      </w:r>
      <w:r>
        <w:rPr>
          <w:rFonts w:hint="eastAsia" w:ascii="仿宋" w:hAnsi="仿宋" w:eastAsia="仿宋" w:cs="宋体"/>
          <w:color w:val="auto"/>
          <w:szCs w:val="21"/>
        </w:rPr>
        <w:t>）参加政府采购活动前三年内，在经营活动中没有重大违法记录；</w:t>
      </w:r>
    </w:p>
    <w:p w14:paraId="7F02AA41">
      <w:pPr>
        <w:keepNext w:val="0"/>
        <w:keepLines w:val="0"/>
        <w:pageBreakBefore w:val="0"/>
        <w:widowControl w:val="0"/>
        <w:kinsoku/>
        <w:overflowPunct/>
        <w:topLinePunct w:val="0"/>
        <w:autoSpaceDE/>
        <w:autoSpaceDN/>
        <w:bidi w:val="0"/>
        <w:adjustRightInd/>
        <w:snapToGrid/>
        <w:spacing w:line="360" w:lineRule="auto"/>
        <w:textAlignment w:val="auto"/>
        <w:rPr>
          <w:rFonts w:ascii="仿宋" w:hAnsi="仿宋" w:eastAsia="仿宋" w:cs="宋体"/>
          <w:color w:val="auto"/>
          <w:szCs w:val="21"/>
        </w:rPr>
      </w:pPr>
      <w:r>
        <w:rPr>
          <w:rFonts w:hint="eastAsia" w:ascii="仿宋" w:hAnsi="仿宋" w:eastAsia="仿宋" w:cs="宋体"/>
          <w:color w:val="auto"/>
          <w:szCs w:val="21"/>
        </w:rPr>
        <w:t>（</w:t>
      </w:r>
      <w:r>
        <w:rPr>
          <w:rFonts w:ascii="仿宋" w:hAnsi="仿宋" w:eastAsia="仿宋" w:cs="宋体"/>
          <w:color w:val="auto"/>
          <w:szCs w:val="21"/>
        </w:rPr>
        <w:t>6</w:t>
      </w:r>
      <w:r>
        <w:rPr>
          <w:rFonts w:hint="eastAsia" w:ascii="仿宋" w:hAnsi="仿宋" w:eastAsia="仿宋" w:cs="宋体"/>
          <w:color w:val="auto"/>
          <w:szCs w:val="21"/>
        </w:rPr>
        <w:t>）法律、行政法规规定的其他条件。</w:t>
      </w:r>
    </w:p>
    <w:p w14:paraId="5F6288AE">
      <w:pPr>
        <w:keepNext w:val="0"/>
        <w:keepLines w:val="0"/>
        <w:pageBreakBefore w:val="0"/>
        <w:widowControl w:val="0"/>
        <w:kinsoku/>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rPr>
        <w:t>同时，我方在此声明，我方单位负责人与其它投标单位的负责人不为同一人，且我单位与其它投标单位也不存在直接控股、管理关系。我方没有为本采购项目提供整体设计、规范编制或者项目管理、监理、检测等服务。</w:t>
      </w:r>
    </w:p>
    <w:p w14:paraId="72B14247">
      <w:pPr>
        <w:keepNext w:val="0"/>
        <w:keepLines w:val="0"/>
        <w:pageBreakBefore w:val="0"/>
        <w:widowControl w:val="0"/>
        <w:kinsoku/>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rPr>
        <w:t>我方保证上述信息的完整、客观、真实、准确，并愿意承担我方因提供虚假材料谋骗取中标、成交所引起的一切法律后果。</w:t>
      </w:r>
    </w:p>
    <w:p w14:paraId="64C6A981">
      <w:pPr>
        <w:keepNext w:val="0"/>
        <w:keepLines w:val="0"/>
        <w:pageBreakBefore w:val="0"/>
        <w:widowControl w:val="0"/>
        <w:kinsoku/>
        <w:overflowPunct/>
        <w:topLinePunct w:val="0"/>
        <w:autoSpaceDE/>
        <w:autoSpaceDN/>
        <w:bidi w:val="0"/>
        <w:adjustRightInd/>
        <w:snapToGrid/>
        <w:spacing w:line="360" w:lineRule="auto"/>
        <w:ind w:firstLine="420" w:firstLineChars="200"/>
        <w:textAlignment w:val="auto"/>
        <w:rPr>
          <w:rFonts w:ascii="仿宋" w:hAnsi="仿宋" w:eastAsia="仿宋" w:cs="宋体"/>
          <w:color w:val="auto"/>
          <w:szCs w:val="21"/>
        </w:rPr>
      </w:pPr>
      <w:r>
        <w:rPr>
          <w:rFonts w:hint="eastAsia" w:ascii="仿宋" w:hAnsi="仿宋" w:eastAsia="仿宋" w:cs="宋体"/>
          <w:color w:val="auto"/>
          <w:szCs w:val="21"/>
        </w:rPr>
        <w:t>特此声明！</w:t>
      </w:r>
    </w:p>
    <w:p w14:paraId="6141317A">
      <w:pPr>
        <w:keepNext w:val="0"/>
        <w:keepLines w:val="0"/>
        <w:pageBreakBefore w:val="0"/>
        <w:widowControl w:val="0"/>
        <w:kinsoku/>
        <w:overflowPunct/>
        <w:topLinePunct w:val="0"/>
        <w:autoSpaceDE/>
        <w:autoSpaceDN/>
        <w:bidi w:val="0"/>
        <w:adjustRightInd/>
        <w:snapToGrid/>
        <w:spacing w:line="360" w:lineRule="auto"/>
        <w:textAlignment w:val="auto"/>
        <w:rPr>
          <w:rFonts w:ascii="仿宋" w:hAnsi="仿宋" w:eastAsia="仿宋" w:cs="宋体"/>
          <w:color w:val="auto"/>
          <w:szCs w:val="21"/>
        </w:rPr>
      </w:pPr>
    </w:p>
    <w:p w14:paraId="7701CC1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right"/>
        <w:textAlignment w:val="auto"/>
        <w:rPr>
          <w:rFonts w:ascii="仿宋" w:hAnsi="仿宋" w:eastAsia="仿宋" w:cs="宋体"/>
          <w:color w:val="auto"/>
          <w:szCs w:val="21"/>
        </w:rPr>
      </w:pPr>
      <w:r>
        <w:rPr>
          <w:rFonts w:hint="eastAsia" w:ascii="仿宋" w:hAnsi="仿宋" w:eastAsia="仿宋" w:cs="宋体"/>
          <w:color w:val="auto"/>
          <w:szCs w:val="21"/>
        </w:rPr>
        <w:t xml:space="preserve">供应商法定代表人或授权代表签字： </w:t>
      </w:r>
      <w:r>
        <w:rPr>
          <w:rFonts w:ascii="仿宋" w:hAnsi="仿宋" w:eastAsia="仿宋" w:cs="宋体"/>
          <w:color w:val="auto"/>
          <w:szCs w:val="21"/>
        </w:rPr>
        <w:t xml:space="preserve">  </w:t>
      </w:r>
    </w:p>
    <w:p w14:paraId="64BDD40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right"/>
        <w:textAlignment w:val="auto"/>
        <w:rPr>
          <w:rFonts w:ascii="仿宋" w:hAnsi="仿宋" w:eastAsia="仿宋" w:cs="宋体"/>
          <w:color w:val="auto"/>
          <w:szCs w:val="21"/>
        </w:rPr>
      </w:pPr>
      <w:r>
        <w:rPr>
          <w:rFonts w:hint="eastAsia" w:ascii="仿宋" w:hAnsi="仿宋" w:eastAsia="仿宋" w:cs="宋体"/>
          <w:color w:val="auto"/>
          <w:szCs w:val="21"/>
        </w:rPr>
        <w:t xml:space="preserve">供应商名称（签章）： </w:t>
      </w:r>
      <w:r>
        <w:rPr>
          <w:rFonts w:ascii="仿宋" w:hAnsi="仿宋" w:eastAsia="仿宋" w:cs="宋体"/>
          <w:color w:val="auto"/>
          <w:szCs w:val="21"/>
        </w:rPr>
        <w:t xml:space="preserve">  </w:t>
      </w:r>
    </w:p>
    <w:p w14:paraId="664FAEC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right"/>
        <w:textAlignment w:val="auto"/>
        <w:rPr>
          <w:rFonts w:ascii="仿宋" w:hAnsi="仿宋" w:eastAsia="仿宋" w:cs="宋体"/>
          <w:color w:val="auto"/>
          <w:szCs w:val="21"/>
        </w:rPr>
      </w:pPr>
      <w:r>
        <w:rPr>
          <w:rFonts w:hint="eastAsia" w:ascii="仿宋" w:hAnsi="仿宋" w:eastAsia="仿宋" w:cs="宋体"/>
          <w:color w:val="auto"/>
          <w:szCs w:val="21"/>
        </w:rPr>
        <w:t xml:space="preserve"> 时间： </w:t>
      </w:r>
      <w:r>
        <w:rPr>
          <w:rFonts w:ascii="仿宋" w:hAnsi="仿宋" w:eastAsia="仿宋" w:cs="宋体"/>
          <w:color w:val="auto"/>
          <w:szCs w:val="21"/>
        </w:rPr>
        <w:t xml:space="preserve">  </w:t>
      </w:r>
    </w:p>
    <w:p w14:paraId="12750E8C">
      <w:pPr>
        <w:rPr>
          <w:rFonts w:ascii="仿宋" w:hAnsi="仿宋" w:eastAsia="仿宋" w:cs="宋体"/>
          <w:color w:val="auto"/>
          <w:szCs w:val="21"/>
        </w:rPr>
      </w:pPr>
      <w:r>
        <w:rPr>
          <w:rFonts w:hint="eastAsia" w:ascii="仿宋" w:hAnsi="仿宋" w:eastAsia="仿宋" w:cs="宋体"/>
          <w:color w:val="auto"/>
          <w:szCs w:val="21"/>
        </w:rPr>
        <w:t>。</w:t>
      </w:r>
    </w:p>
    <w:p w14:paraId="135552EF">
      <w:pPr>
        <w:pStyle w:val="7"/>
        <w:rPr>
          <w:rFonts w:hint="eastAsia"/>
          <w:color w:val="auto"/>
        </w:rPr>
      </w:pPr>
    </w:p>
    <w:p w14:paraId="6DB21C53">
      <w:pPr>
        <w:rPr>
          <w:rFonts w:ascii="仿宋" w:hAnsi="仿宋" w:eastAsia="仿宋" w:cs="宋体"/>
          <w:color w:val="auto"/>
          <w:szCs w:val="21"/>
        </w:rPr>
      </w:pPr>
    </w:p>
    <w:p w14:paraId="002F6836">
      <w:pPr>
        <w:adjustRightInd w:val="0"/>
        <w:snapToGrid w:val="0"/>
        <w:spacing w:line="360" w:lineRule="auto"/>
        <w:ind w:left="-88" w:leftChars="-42"/>
        <w:jc w:val="center"/>
        <w:rPr>
          <w:rFonts w:ascii="仿宋" w:hAnsi="仿宋" w:eastAsia="仿宋" w:cs="宋体"/>
          <w:color w:val="auto"/>
          <w:szCs w:val="21"/>
        </w:rPr>
      </w:pPr>
    </w:p>
    <w:p w14:paraId="2916B917">
      <w:pPr>
        <w:numPr>
          <w:ilvl w:val="4"/>
          <w:numId w:val="31"/>
        </w:numPr>
        <w:bidi w:val="0"/>
        <w:rPr>
          <w:color w:val="auto"/>
        </w:rPr>
      </w:pPr>
      <w:r>
        <w:rPr>
          <w:rFonts w:hint="eastAsia"/>
          <w:color w:val="auto"/>
        </w:rPr>
        <w:br w:type="page"/>
      </w:r>
      <w:bookmarkStart w:id="288" w:name="_Toc31711"/>
      <w:bookmarkEnd w:id="288"/>
    </w:p>
    <w:p w14:paraId="707B82E3">
      <w:pPr>
        <w:tabs>
          <w:tab w:val="left" w:pos="502"/>
          <w:tab w:val="left" w:pos="540"/>
        </w:tabs>
        <w:autoSpaceDE w:val="0"/>
        <w:autoSpaceDN w:val="0"/>
        <w:adjustRightInd w:val="0"/>
        <w:outlineLvl w:val="1"/>
        <w:rPr>
          <w:rFonts w:ascii="仿宋" w:hAnsi="仿宋" w:eastAsia="仿宋" w:cs="宋体"/>
          <w:b/>
          <w:bCs/>
          <w:color w:val="auto"/>
          <w:sz w:val="24"/>
        </w:rPr>
      </w:pPr>
      <w:bookmarkStart w:id="289" w:name="_Toc14897"/>
      <w:bookmarkStart w:id="290" w:name="_Toc149035965"/>
      <w:bookmarkStart w:id="291" w:name="_Toc5475"/>
      <w:r>
        <w:rPr>
          <w:rFonts w:hint="eastAsia" w:ascii="仿宋" w:hAnsi="仿宋" w:eastAsia="仿宋" w:cs="宋体"/>
          <w:b/>
          <w:bCs/>
          <w:color w:val="auto"/>
          <w:sz w:val="24"/>
        </w:rPr>
        <w:t>1</w:t>
      </w:r>
      <w:r>
        <w:rPr>
          <w:rFonts w:ascii="仿宋" w:hAnsi="仿宋" w:eastAsia="仿宋" w:cs="宋体"/>
          <w:b/>
          <w:bCs/>
          <w:color w:val="auto"/>
          <w:sz w:val="24"/>
        </w:rPr>
        <w:t xml:space="preserve">1. </w:t>
      </w:r>
      <w:r>
        <w:rPr>
          <w:rFonts w:hint="eastAsia" w:ascii="仿宋" w:hAnsi="仿宋" w:eastAsia="仿宋" w:cs="宋体"/>
          <w:b/>
          <w:bCs/>
          <w:color w:val="auto"/>
          <w:sz w:val="24"/>
        </w:rPr>
        <w:t>技术文件（格式自拟）</w:t>
      </w:r>
      <w:bookmarkEnd w:id="289"/>
      <w:bookmarkEnd w:id="290"/>
      <w:bookmarkEnd w:id="291"/>
    </w:p>
    <w:p w14:paraId="71B83E56">
      <w:pPr>
        <w:pStyle w:val="7"/>
        <w:jc w:val="left"/>
        <w:rPr>
          <w:rFonts w:ascii="仿宋" w:hAnsi="仿宋" w:eastAsia="仿宋"/>
          <w:color w:val="auto"/>
        </w:rPr>
      </w:pPr>
    </w:p>
    <w:p w14:paraId="1677C6AB">
      <w:pPr>
        <w:pStyle w:val="7"/>
        <w:jc w:val="left"/>
        <w:rPr>
          <w:rFonts w:ascii="仿宋" w:hAnsi="仿宋" w:eastAsia="仿宋"/>
          <w:color w:val="auto"/>
        </w:rPr>
      </w:pPr>
      <w:r>
        <w:rPr>
          <w:rFonts w:ascii="仿宋" w:hAnsi="仿宋" w:eastAsia="仿宋"/>
          <w:color w:val="auto"/>
        </w:rPr>
        <w:br w:type="page"/>
      </w:r>
    </w:p>
    <w:p w14:paraId="3EFDCE79">
      <w:pPr>
        <w:tabs>
          <w:tab w:val="left" w:pos="502"/>
          <w:tab w:val="left" w:pos="540"/>
        </w:tabs>
        <w:autoSpaceDE w:val="0"/>
        <w:autoSpaceDN w:val="0"/>
        <w:adjustRightInd w:val="0"/>
        <w:outlineLvl w:val="1"/>
        <w:rPr>
          <w:rFonts w:ascii="仿宋" w:hAnsi="仿宋" w:eastAsia="仿宋"/>
          <w:color w:val="auto"/>
        </w:rPr>
      </w:pPr>
      <w:bookmarkStart w:id="292" w:name="_Toc24555"/>
      <w:bookmarkStart w:id="293" w:name="_Toc9193"/>
      <w:bookmarkStart w:id="294" w:name="_Toc149035966"/>
      <w:r>
        <w:rPr>
          <w:rFonts w:hint="eastAsia" w:ascii="仿宋" w:hAnsi="仿宋" w:eastAsia="仿宋" w:cs="宋体"/>
          <w:b/>
          <w:bCs/>
          <w:color w:val="auto"/>
          <w:sz w:val="24"/>
        </w:rPr>
        <w:t>1</w:t>
      </w:r>
      <w:r>
        <w:rPr>
          <w:rFonts w:ascii="仿宋" w:hAnsi="仿宋" w:eastAsia="仿宋" w:cs="宋体"/>
          <w:b/>
          <w:bCs/>
          <w:color w:val="auto"/>
          <w:sz w:val="24"/>
        </w:rPr>
        <w:t xml:space="preserve">2. </w:t>
      </w:r>
      <w:r>
        <w:rPr>
          <w:rFonts w:hint="eastAsia" w:ascii="仿宋" w:hAnsi="仿宋" w:eastAsia="仿宋" w:cs="宋体"/>
          <w:b/>
          <w:bCs/>
          <w:color w:val="auto"/>
          <w:sz w:val="24"/>
        </w:rPr>
        <w:t>磋商供应商认为应该提交的其它文件（格式自拟，包括但不限于以下内容）</w:t>
      </w:r>
      <w:bookmarkEnd w:id="292"/>
      <w:bookmarkEnd w:id="293"/>
      <w:bookmarkEnd w:id="294"/>
    </w:p>
    <w:p w14:paraId="4A77811A">
      <w:pPr>
        <w:spacing w:line="360" w:lineRule="auto"/>
        <w:rPr>
          <w:rFonts w:ascii="仿宋" w:hAnsi="仿宋" w:eastAsia="仿宋" w:cs="宋体"/>
          <w:color w:val="auto"/>
          <w:szCs w:val="21"/>
        </w:rPr>
      </w:pPr>
    </w:p>
    <w:p w14:paraId="23F55DB2">
      <w:pPr>
        <w:rPr>
          <w:rFonts w:ascii="仿宋" w:hAnsi="仿宋" w:eastAsia="仿宋" w:cs="宋体"/>
          <w:color w:val="auto"/>
          <w:szCs w:val="21"/>
        </w:rPr>
      </w:pPr>
      <w:r>
        <w:rPr>
          <w:rFonts w:ascii="仿宋" w:hAnsi="仿宋" w:eastAsia="仿宋" w:cs="宋体"/>
          <w:color w:val="auto"/>
          <w:szCs w:val="21"/>
        </w:rPr>
        <w:br w:type="page"/>
      </w:r>
    </w:p>
    <w:p w14:paraId="7C4AA2E8">
      <w:pPr>
        <w:tabs>
          <w:tab w:val="left" w:pos="502"/>
          <w:tab w:val="left" w:pos="540"/>
        </w:tabs>
        <w:autoSpaceDE w:val="0"/>
        <w:autoSpaceDN w:val="0"/>
        <w:adjustRightInd w:val="0"/>
        <w:ind w:left="142"/>
        <w:outlineLvl w:val="1"/>
        <w:rPr>
          <w:rFonts w:ascii="仿宋" w:hAnsi="仿宋" w:eastAsia="仿宋" w:cs="宋体"/>
          <w:color w:val="auto"/>
          <w:szCs w:val="21"/>
        </w:rPr>
      </w:pPr>
      <w:bookmarkStart w:id="295" w:name="_Toc12119"/>
      <w:bookmarkStart w:id="296" w:name="_Toc19828"/>
      <w:bookmarkStart w:id="297" w:name="_Toc149035969"/>
      <w:bookmarkStart w:id="298" w:name="_Toc22465"/>
      <w:bookmarkStart w:id="299" w:name="_Toc432149016"/>
      <w:bookmarkStart w:id="300" w:name="_Toc356836516"/>
      <w:bookmarkStart w:id="301" w:name="_Toc355802499"/>
      <w:bookmarkStart w:id="302" w:name="_Toc12805"/>
      <w:bookmarkStart w:id="303" w:name="_Toc422466739"/>
      <w:r>
        <w:rPr>
          <w:rFonts w:ascii="仿宋" w:hAnsi="仿宋" w:eastAsia="仿宋" w:cs="宋体"/>
          <w:b/>
          <w:bCs/>
          <w:color w:val="auto"/>
          <w:sz w:val="24"/>
        </w:rPr>
        <w:t xml:space="preserve">13. </w:t>
      </w:r>
      <w:r>
        <w:rPr>
          <w:rFonts w:hint="eastAsia" w:ascii="仿宋" w:hAnsi="仿宋" w:eastAsia="仿宋" w:cs="宋体"/>
          <w:b/>
          <w:bCs/>
          <w:color w:val="auto"/>
          <w:sz w:val="24"/>
        </w:rPr>
        <w:t>中小企业声明函</w:t>
      </w:r>
      <w:bookmarkEnd w:id="295"/>
      <w:bookmarkEnd w:id="296"/>
      <w:bookmarkEnd w:id="297"/>
      <w:bookmarkEnd w:id="298"/>
      <w:bookmarkEnd w:id="299"/>
      <w:bookmarkEnd w:id="300"/>
      <w:bookmarkEnd w:id="301"/>
      <w:bookmarkEnd w:id="302"/>
      <w:bookmarkEnd w:id="303"/>
    </w:p>
    <w:bookmarkEnd w:id="228"/>
    <w:bookmarkEnd w:id="229"/>
    <w:bookmarkEnd w:id="230"/>
    <w:bookmarkEnd w:id="231"/>
    <w:p w14:paraId="4FD951E4">
      <w:pPr>
        <w:spacing w:line="360" w:lineRule="auto"/>
        <w:ind w:firstLine="420" w:firstLineChars="200"/>
        <w:rPr>
          <w:rFonts w:ascii="仿宋" w:hAnsi="仿宋" w:eastAsia="仿宋" w:cs="宋体"/>
          <w:color w:val="auto"/>
          <w:szCs w:val="21"/>
        </w:rPr>
      </w:pPr>
    </w:p>
    <w:p w14:paraId="6FD3FD16">
      <w:pPr>
        <w:spacing w:line="360" w:lineRule="auto"/>
        <w:ind w:firstLine="420" w:firstLineChars="200"/>
        <w:rPr>
          <w:rFonts w:ascii="仿宋" w:hAnsi="仿宋" w:eastAsia="仿宋" w:cs="宋体"/>
          <w:color w:val="auto"/>
          <w:szCs w:val="21"/>
        </w:rPr>
      </w:pPr>
      <w:r>
        <w:rPr>
          <w:rFonts w:ascii="仿宋" w:hAnsi="仿宋" w:eastAsia="仿宋" w:cs="宋体"/>
          <w:color w:val="auto"/>
          <w:szCs w:val="21"/>
        </w:rPr>
        <w:t>本公司（联合体）郑重声明，根据《政府采购促进中小企业发展管理办法》（财库</w:t>
      </w:r>
      <w:r>
        <w:rPr>
          <w:rFonts w:hint="eastAsia" w:ascii="仿宋" w:hAnsi="仿宋" w:eastAsia="仿宋" w:cs="宋体"/>
          <w:color w:val="auto"/>
          <w:szCs w:val="21"/>
        </w:rPr>
        <w:t>﹝</w:t>
      </w:r>
      <w:r>
        <w:rPr>
          <w:rFonts w:ascii="仿宋" w:hAnsi="仿宋" w:eastAsia="仿宋" w:cs="宋体"/>
          <w:color w:val="auto"/>
          <w:szCs w:val="21"/>
        </w:rPr>
        <w:t>2020</w:t>
      </w:r>
      <w:r>
        <w:rPr>
          <w:rFonts w:hint="eastAsia" w:ascii="仿宋" w:hAnsi="仿宋" w:eastAsia="仿宋" w:cs="宋体"/>
          <w:color w:val="auto"/>
          <w:szCs w:val="21"/>
        </w:rPr>
        <w:t>﹞</w:t>
      </w:r>
      <w:r>
        <w:rPr>
          <w:rFonts w:ascii="仿宋" w:hAnsi="仿宋" w:eastAsia="仿宋" w:cs="宋体"/>
          <w:color w:val="auto"/>
          <w:szCs w:val="21"/>
        </w:rPr>
        <w:t>46 号）的规定，本公司（联合体）参加</w:t>
      </w:r>
      <w:r>
        <w:rPr>
          <w:rFonts w:ascii="仿宋" w:hAnsi="仿宋" w:eastAsia="仿宋" w:cs="宋体"/>
          <w:color w:val="auto"/>
          <w:szCs w:val="21"/>
          <w:u w:val="single"/>
        </w:rPr>
        <w:t>（单位名称）</w:t>
      </w:r>
      <w:r>
        <w:rPr>
          <w:rFonts w:ascii="仿宋" w:hAnsi="仿宋" w:eastAsia="仿宋" w:cs="宋体"/>
          <w:color w:val="auto"/>
          <w:szCs w:val="21"/>
        </w:rPr>
        <w:t>的</w:t>
      </w:r>
      <w:r>
        <w:rPr>
          <w:rFonts w:ascii="仿宋" w:hAnsi="仿宋" w:eastAsia="仿宋" w:cs="宋体"/>
          <w:color w:val="auto"/>
          <w:szCs w:val="21"/>
          <w:u w:val="single"/>
        </w:rPr>
        <w:t>（项目名称）</w:t>
      </w:r>
      <w:r>
        <w:rPr>
          <w:rFonts w:ascii="仿宋" w:hAnsi="仿宋" w:eastAsia="仿宋" w:cs="宋体"/>
          <w:color w:val="auto"/>
          <w:szCs w:val="21"/>
        </w:rPr>
        <w:t>采购活动，提供的货物全部由符合政策要求的中小企业制造。相关企业（含联合体中的中小企业、签订分包意向协议的中小企业） 的具体情况如下：</w:t>
      </w:r>
    </w:p>
    <w:p w14:paraId="0DADFE15">
      <w:pPr>
        <w:spacing w:line="360" w:lineRule="auto"/>
        <w:ind w:firstLine="420" w:firstLineChars="200"/>
        <w:rPr>
          <w:rFonts w:ascii="仿宋" w:hAnsi="仿宋" w:eastAsia="仿宋" w:cs="宋体"/>
          <w:color w:val="auto"/>
          <w:szCs w:val="21"/>
        </w:rPr>
      </w:pPr>
      <w:r>
        <w:rPr>
          <w:rFonts w:hint="eastAsia" w:ascii="仿宋" w:hAnsi="仿宋" w:eastAsia="仿宋" w:cs="宋体"/>
          <w:color w:val="auto"/>
          <w:szCs w:val="21"/>
        </w:rPr>
        <w:t>1.</w:t>
      </w:r>
      <w:r>
        <w:rPr>
          <w:rFonts w:ascii="仿宋" w:hAnsi="仿宋" w:eastAsia="仿宋" w:cs="宋体"/>
          <w:color w:val="auto"/>
          <w:szCs w:val="21"/>
          <w:u w:val="single"/>
        </w:rPr>
        <w:t xml:space="preserve">（标的名称） </w:t>
      </w:r>
      <w:r>
        <w:rPr>
          <w:rFonts w:ascii="仿宋" w:hAnsi="仿宋" w:eastAsia="仿宋" w:cs="宋体"/>
          <w:color w:val="auto"/>
          <w:szCs w:val="21"/>
        </w:rPr>
        <w:t>，属于</w:t>
      </w:r>
      <w:r>
        <w:rPr>
          <w:rFonts w:ascii="仿宋" w:hAnsi="仿宋" w:eastAsia="仿宋" w:cs="宋体"/>
          <w:color w:val="auto"/>
          <w:szCs w:val="21"/>
          <w:u w:val="single"/>
        </w:rPr>
        <w:t>（</w:t>
      </w:r>
      <w:r>
        <w:rPr>
          <w:rFonts w:hint="eastAsia" w:ascii="仿宋" w:hAnsi="仿宋" w:eastAsia="仿宋" w:cs="宋体"/>
          <w:color w:val="auto"/>
          <w:szCs w:val="21"/>
          <w:u w:val="single"/>
          <w:lang w:eastAsia="zh-CN"/>
        </w:rPr>
        <w:t>采购文件</w:t>
      </w:r>
      <w:r>
        <w:rPr>
          <w:rFonts w:ascii="仿宋" w:hAnsi="仿宋" w:eastAsia="仿宋" w:cs="宋体"/>
          <w:color w:val="auto"/>
          <w:szCs w:val="21"/>
          <w:u w:val="single"/>
        </w:rPr>
        <w:t>中明确的所属行业）行业</w:t>
      </w:r>
      <w:r>
        <w:rPr>
          <w:rFonts w:ascii="仿宋" w:hAnsi="仿宋" w:eastAsia="仿宋" w:cs="宋体"/>
          <w:color w:val="auto"/>
          <w:szCs w:val="21"/>
        </w:rPr>
        <w:t>；制造商为</w:t>
      </w:r>
      <w:r>
        <w:rPr>
          <w:rFonts w:ascii="仿宋" w:hAnsi="仿宋" w:eastAsia="仿宋" w:cs="宋体"/>
          <w:color w:val="auto"/>
          <w:szCs w:val="21"/>
          <w:u w:val="single"/>
        </w:rPr>
        <w:t>（企业名称）</w:t>
      </w:r>
      <w:r>
        <w:rPr>
          <w:rFonts w:ascii="仿宋" w:hAnsi="仿宋" w:eastAsia="仿宋" w:cs="宋体"/>
          <w:color w:val="auto"/>
          <w:szCs w:val="21"/>
        </w:rPr>
        <w:t>，从业人员</w:t>
      </w:r>
      <w:r>
        <w:rPr>
          <w:rFonts w:hint="eastAsia" w:ascii="仿宋" w:hAnsi="仿宋" w:eastAsia="仿宋" w:cs="宋体"/>
          <w:color w:val="auto"/>
          <w:szCs w:val="21"/>
          <w:u w:val="single"/>
        </w:rPr>
        <w:t xml:space="preserve"> </w:t>
      </w:r>
      <w:r>
        <w:rPr>
          <w:rFonts w:ascii="仿宋" w:hAnsi="仿宋" w:eastAsia="仿宋" w:cs="宋体"/>
          <w:color w:val="auto"/>
          <w:szCs w:val="21"/>
          <w:u w:val="single"/>
        </w:rPr>
        <w:t xml:space="preserve">   人</w:t>
      </w:r>
      <w:r>
        <w:rPr>
          <w:rFonts w:ascii="仿宋" w:hAnsi="仿宋" w:eastAsia="仿宋" w:cs="宋体"/>
          <w:color w:val="auto"/>
          <w:szCs w:val="21"/>
        </w:rPr>
        <w:t>，营业收入为</w:t>
      </w:r>
      <w:r>
        <w:rPr>
          <w:rFonts w:hint="eastAsia" w:ascii="仿宋" w:hAnsi="仿宋" w:eastAsia="仿宋" w:cs="宋体"/>
          <w:color w:val="auto"/>
          <w:szCs w:val="21"/>
          <w:u w:val="single"/>
        </w:rPr>
        <w:t xml:space="preserve"> </w:t>
      </w:r>
      <w:r>
        <w:rPr>
          <w:rFonts w:ascii="仿宋" w:hAnsi="仿宋" w:eastAsia="仿宋" w:cs="宋体"/>
          <w:color w:val="auto"/>
          <w:szCs w:val="21"/>
          <w:u w:val="single"/>
        </w:rPr>
        <w:t xml:space="preserve">   万元</w:t>
      </w:r>
      <w:r>
        <w:rPr>
          <w:rFonts w:ascii="仿宋" w:hAnsi="仿宋" w:eastAsia="仿宋" w:cs="宋体"/>
          <w:color w:val="auto"/>
          <w:szCs w:val="21"/>
        </w:rPr>
        <w:t>，资产总额为</w:t>
      </w:r>
      <w:r>
        <w:rPr>
          <w:rFonts w:hint="eastAsia" w:ascii="仿宋" w:hAnsi="仿宋" w:eastAsia="仿宋" w:cs="宋体"/>
          <w:color w:val="auto"/>
          <w:szCs w:val="21"/>
          <w:u w:val="single"/>
        </w:rPr>
        <w:t xml:space="preserve"> </w:t>
      </w:r>
      <w:r>
        <w:rPr>
          <w:rFonts w:ascii="仿宋" w:hAnsi="仿宋" w:eastAsia="仿宋" w:cs="宋体"/>
          <w:color w:val="auto"/>
          <w:szCs w:val="21"/>
          <w:u w:val="single"/>
        </w:rPr>
        <w:t xml:space="preserve">   万元</w:t>
      </w:r>
      <w:r>
        <w:rPr>
          <w:color w:val="auto"/>
        </w:rPr>
        <w:fldChar w:fldCharType="begin"/>
      </w:r>
      <w:r>
        <w:rPr>
          <w:color w:val="auto"/>
        </w:rPr>
        <w:instrText xml:space="preserve"> HYPERLINK \l "_bookmark0" </w:instrText>
      </w:r>
      <w:r>
        <w:rPr>
          <w:color w:val="auto"/>
        </w:rPr>
        <w:fldChar w:fldCharType="separate"/>
      </w:r>
      <w:r>
        <w:rPr>
          <w:rFonts w:hint="eastAsia" w:ascii="仿宋" w:hAnsi="仿宋" w:eastAsia="仿宋" w:cs="宋体"/>
          <w:color w:val="auto"/>
          <w:szCs w:val="21"/>
          <w:vertAlign w:val="superscript"/>
        </w:rPr>
        <w:t>注1</w:t>
      </w:r>
      <w:r>
        <w:rPr>
          <w:rFonts w:hint="eastAsia" w:ascii="仿宋" w:hAnsi="仿宋" w:eastAsia="仿宋" w:cs="宋体"/>
          <w:color w:val="auto"/>
          <w:szCs w:val="21"/>
          <w:vertAlign w:val="superscript"/>
        </w:rPr>
        <w:fldChar w:fldCharType="end"/>
      </w:r>
      <w:r>
        <w:rPr>
          <w:rFonts w:ascii="仿宋" w:hAnsi="仿宋" w:eastAsia="仿宋" w:cs="宋体"/>
          <w:color w:val="auto"/>
          <w:szCs w:val="21"/>
        </w:rPr>
        <w:t>，属于</w:t>
      </w:r>
      <w:r>
        <w:rPr>
          <w:rFonts w:ascii="仿宋" w:hAnsi="仿宋" w:eastAsia="仿宋" w:cs="宋体"/>
          <w:color w:val="auto"/>
          <w:szCs w:val="21"/>
          <w:u w:val="single"/>
        </w:rPr>
        <w:t>（中型企业、小型企业、微型企业）</w:t>
      </w:r>
      <w:r>
        <w:rPr>
          <w:rFonts w:ascii="仿宋" w:hAnsi="仿宋" w:eastAsia="仿宋" w:cs="宋体"/>
          <w:color w:val="auto"/>
          <w:szCs w:val="21"/>
        </w:rPr>
        <w:t>；</w:t>
      </w:r>
    </w:p>
    <w:p w14:paraId="7326FF3C">
      <w:pPr>
        <w:spacing w:line="360" w:lineRule="auto"/>
        <w:ind w:firstLine="420" w:firstLineChars="200"/>
        <w:rPr>
          <w:rFonts w:ascii="仿宋" w:hAnsi="仿宋" w:eastAsia="仿宋" w:cs="宋体"/>
          <w:color w:val="auto"/>
          <w:szCs w:val="21"/>
        </w:rPr>
      </w:pPr>
      <w:r>
        <w:rPr>
          <w:rFonts w:hint="eastAsia" w:ascii="仿宋" w:hAnsi="仿宋" w:eastAsia="仿宋" w:cs="宋体"/>
          <w:color w:val="auto"/>
          <w:szCs w:val="21"/>
        </w:rPr>
        <w:t>2.</w:t>
      </w:r>
      <w:r>
        <w:rPr>
          <w:rFonts w:ascii="仿宋" w:hAnsi="仿宋" w:eastAsia="仿宋" w:cs="宋体"/>
          <w:color w:val="auto"/>
          <w:szCs w:val="21"/>
          <w:u w:val="single"/>
        </w:rPr>
        <w:t xml:space="preserve">（标的名称） </w:t>
      </w:r>
      <w:r>
        <w:rPr>
          <w:rFonts w:ascii="仿宋" w:hAnsi="仿宋" w:eastAsia="仿宋" w:cs="宋体"/>
          <w:color w:val="auto"/>
          <w:szCs w:val="21"/>
        </w:rPr>
        <w:t>，属于</w:t>
      </w:r>
      <w:r>
        <w:rPr>
          <w:rFonts w:ascii="仿宋" w:hAnsi="仿宋" w:eastAsia="仿宋" w:cs="宋体"/>
          <w:color w:val="auto"/>
          <w:szCs w:val="21"/>
          <w:u w:val="single"/>
        </w:rPr>
        <w:t>（</w:t>
      </w:r>
      <w:r>
        <w:rPr>
          <w:rFonts w:hint="eastAsia" w:ascii="仿宋" w:hAnsi="仿宋" w:eastAsia="仿宋" w:cs="宋体"/>
          <w:color w:val="auto"/>
          <w:szCs w:val="21"/>
          <w:u w:val="single"/>
          <w:lang w:eastAsia="zh-CN"/>
        </w:rPr>
        <w:t>采购文件</w:t>
      </w:r>
      <w:r>
        <w:rPr>
          <w:rFonts w:ascii="仿宋" w:hAnsi="仿宋" w:eastAsia="仿宋" w:cs="宋体"/>
          <w:color w:val="auto"/>
          <w:szCs w:val="21"/>
          <w:u w:val="single"/>
        </w:rPr>
        <w:t>中明确的所属行业）行业</w:t>
      </w:r>
      <w:r>
        <w:rPr>
          <w:rFonts w:ascii="仿宋" w:hAnsi="仿宋" w:eastAsia="仿宋" w:cs="宋体"/>
          <w:color w:val="auto"/>
          <w:szCs w:val="21"/>
        </w:rPr>
        <w:t>；制造商为</w:t>
      </w:r>
      <w:r>
        <w:rPr>
          <w:rFonts w:ascii="仿宋" w:hAnsi="仿宋" w:eastAsia="仿宋" w:cs="宋体"/>
          <w:color w:val="auto"/>
          <w:szCs w:val="21"/>
          <w:u w:val="single"/>
        </w:rPr>
        <w:t>（企业名称）</w:t>
      </w:r>
      <w:r>
        <w:rPr>
          <w:rFonts w:ascii="仿宋" w:hAnsi="仿宋" w:eastAsia="仿宋" w:cs="宋体"/>
          <w:color w:val="auto"/>
          <w:szCs w:val="21"/>
        </w:rPr>
        <w:t>，从业人员</w:t>
      </w:r>
      <w:r>
        <w:rPr>
          <w:rFonts w:hint="eastAsia" w:ascii="仿宋" w:hAnsi="仿宋" w:eastAsia="仿宋" w:cs="宋体"/>
          <w:color w:val="auto"/>
          <w:szCs w:val="21"/>
          <w:u w:val="single"/>
        </w:rPr>
        <w:t xml:space="preserve"> </w:t>
      </w:r>
      <w:r>
        <w:rPr>
          <w:rFonts w:ascii="仿宋" w:hAnsi="仿宋" w:eastAsia="仿宋" w:cs="宋体"/>
          <w:color w:val="auto"/>
          <w:szCs w:val="21"/>
          <w:u w:val="single"/>
        </w:rPr>
        <w:t xml:space="preserve">   人</w:t>
      </w:r>
      <w:r>
        <w:rPr>
          <w:rFonts w:ascii="仿宋" w:hAnsi="仿宋" w:eastAsia="仿宋" w:cs="宋体"/>
          <w:color w:val="auto"/>
          <w:szCs w:val="21"/>
        </w:rPr>
        <w:t>，营业收入为</w:t>
      </w:r>
      <w:r>
        <w:rPr>
          <w:rFonts w:hint="eastAsia" w:ascii="仿宋" w:hAnsi="仿宋" w:eastAsia="仿宋" w:cs="宋体"/>
          <w:color w:val="auto"/>
          <w:szCs w:val="21"/>
          <w:u w:val="single"/>
        </w:rPr>
        <w:t xml:space="preserve"> </w:t>
      </w:r>
      <w:r>
        <w:rPr>
          <w:rFonts w:ascii="仿宋" w:hAnsi="仿宋" w:eastAsia="仿宋" w:cs="宋体"/>
          <w:color w:val="auto"/>
          <w:szCs w:val="21"/>
          <w:u w:val="single"/>
        </w:rPr>
        <w:t xml:space="preserve">   万元</w:t>
      </w:r>
      <w:r>
        <w:rPr>
          <w:rFonts w:ascii="仿宋" w:hAnsi="仿宋" w:eastAsia="仿宋" w:cs="宋体"/>
          <w:color w:val="auto"/>
          <w:szCs w:val="21"/>
        </w:rPr>
        <w:t>，资产总额为</w:t>
      </w:r>
      <w:r>
        <w:rPr>
          <w:rFonts w:hint="eastAsia" w:ascii="仿宋" w:hAnsi="仿宋" w:eastAsia="仿宋" w:cs="宋体"/>
          <w:color w:val="auto"/>
          <w:szCs w:val="21"/>
          <w:u w:val="single"/>
        </w:rPr>
        <w:t xml:space="preserve"> </w:t>
      </w:r>
      <w:r>
        <w:rPr>
          <w:rFonts w:ascii="仿宋" w:hAnsi="仿宋" w:eastAsia="仿宋" w:cs="宋体"/>
          <w:color w:val="auto"/>
          <w:szCs w:val="21"/>
          <w:u w:val="single"/>
        </w:rPr>
        <w:t xml:space="preserve">   万元</w:t>
      </w:r>
      <w:r>
        <w:rPr>
          <w:rFonts w:ascii="仿宋" w:hAnsi="仿宋" w:eastAsia="仿宋" w:cs="宋体"/>
          <w:color w:val="auto"/>
          <w:szCs w:val="21"/>
        </w:rPr>
        <w:t>，属于</w:t>
      </w:r>
      <w:r>
        <w:rPr>
          <w:rFonts w:ascii="仿宋" w:hAnsi="仿宋" w:eastAsia="仿宋" w:cs="宋体"/>
          <w:color w:val="auto"/>
          <w:szCs w:val="21"/>
          <w:u w:val="single"/>
        </w:rPr>
        <w:t>（中型企业、小型企业、微型企业）</w:t>
      </w:r>
      <w:r>
        <w:rPr>
          <w:rFonts w:ascii="仿宋" w:hAnsi="仿宋" w:eastAsia="仿宋" w:cs="宋体"/>
          <w:color w:val="auto"/>
          <w:szCs w:val="21"/>
        </w:rPr>
        <w:t>；</w:t>
      </w:r>
    </w:p>
    <w:p w14:paraId="2BC7F070">
      <w:pPr>
        <w:spacing w:line="360" w:lineRule="auto"/>
        <w:ind w:firstLine="420" w:firstLineChars="200"/>
        <w:rPr>
          <w:rFonts w:ascii="仿宋" w:hAnsi="仿宋" w:eastAsia="仿宋" w:cs="宋体"/>
          <w:color w:val="auto"/>
          <w:szCs w:val="21"/>
        </w:rPr>
      </w:pPr>
      <w:r>
        <w:rPr>
          <w:rFonts w:ascii="仿宋" w:hAnsi="仿宋" w:eastAsia="仿宋" w:cs="宋体"/>
          <w:color w:val="auto"/>
          <w:szCs w:val="21"/>
        </w:rPr>
        <w:t>……</w:t>
      </w:r>
    </w:p>
    <w:p w14:paraId="0AE33324">
      <w:pPr>
        <w:spacing w:line="360" w:lineRule="auto"/>
        <w:ind w:firstLine="420" w:firstLineChars="200"/>
        <w:rPr>
          <w:rFonts w:ascii="仿宋" w:hAnsi="仿宋" w:eastAsia="仿宋" w:cs="宋体"/>
          <w:color w:val="auto"/>
          <w:szCs w:val="21"/>
        </w:rPr>
      </w:pPr>
      <w:r>
        <w:rPr>
          <w:rFonts w:ascii="仿宋" w:hAnsi="仿宋" w:eastAsia="仿宋" w:cs="宋体"/>
          <w:color w:val="auto"/>
          <w:szCs w:val="21"/>
        </w:rPr>
        <w:t>以上企业，不属于大企业的分支机构，不存在控股股东为大企业的情形，也不存在与大企业的负责人为同一人的情形。</w:t>
      </w:r>
    </w:p>
    <w:p w14:paraId="2BA3F33E">
      <w:pPr>
        <w:spacing w:line="360" w:lineRule="auto"/>
        <w:rPr>
          <w:rFonts w:ascii="仿宋" w:hAnsi="仿宋" w:eastAsia="仿宋" w:cs="宋体"/>
          <w:color w:val="auto"/>
          <w:szCs w:val="21"/>
        </w:rPr>
      </w:pPr>
      <w:r>
        <w:rPr>
          <w:rFonts w:ascii="仿宋" w:hAnsi="仿宋" w:eastAsia="仿宋" w:cs="宋体"/>
          <w:color w:val="auto"/>
          <w:szCs w:val="21"/>
        </w:rPr>
        <w:t>本企业对上述声明内容的真实性负责。如有虚假，将依法承担相应责任。</w:t>
      </w:r>
    </w:p>
    <w:p w14:paraId="2D789DE0">
      <w:pPr>
        <w:pStyle w:val="7"/>
        <w:rPr>
          <w:color w:val="auto"/>
        </w:rPr>
      </w:pPr>
    </w:p>
    <w:p w14:paraId="0A1E9C6B">
      <w:pPr>
        <w:pStyle w:val="7"/>
        <w:rPr>
          <w:color w:val="auto"/>
        </w:rPr>
      </w:pPr>
    </w:p>
    <w:p w14:paraId="5B5955FB">
      <w:pPr>
        <w:adjustRightInd w:val="0"/>
        <w:snapToGrid w:val="0"/>
        <w:spacing w:line="360" w:lineRule="auto"/>
        <w:rPr>
          <w:rFonts w:ascii="仿宋" w:hAnsi="仿宋" w:eastAsia="仿宋"/>
          <w:color w:val="auto"/>
          <w:szCs w:val="21"/>
        </w:rPr>
      </w:pPr>
      <w:r>
        <w:rPr>
          <w:rFonts w:hint="eastAsia" w:ascii="仿宋" w:hAnsi="仿宋" w:eastAsia="仿宋"/>
          <w:color w:val="auto"/>
          <w:szCs w:val="21"/>
        </w:rPr>
        <w:t>单位名称（盖章）：</w:t>
      </w:r>
      <w:r>
        <w:rPr>
          <w:rFonts w:hint="eastAsia" w:ascii="仿宋" w:hAnsi="仿宋" w:eastAsia="仿宋"/>
          <w:color w:val="auto"/>
          <w:szCs w:val="21"/>
          <w:u w:val="single"/>
        </w:rPr>
        <w:t>____                 ____________</w:t>
      </w:r>
    </w:p>
    <w:p w14:paraId="11E5DB0F">
      <w:pPr>
        <w:spacing w:line="360" w:lineRule="auto"/>
        <w:rPr>
          <w:rFonts w:ascii="仿宋" w:hAnsi="仿宋" w:eastAsia="仿宋"/>
          <w:color w:val="auto"/>
          <w:szCs w:val="21"/>
        </w:rPr>
      </w:pPr>
      <w:r>
        <w:rPr>
          <w:rFonts w:hint="eastAsia" w:ascii="仿宋" w:hAnsi="仿宋" w:eastAsia="仿宋"/>
          <w:color w:val="auto"/>
          <w:szCs w:val="21"/>
        </w:rPr>
        <w:t>时             间：</w:t>
      </w:r>
      <w:r>
        <w:rPr>
          <w:rFonts w:hint="eastAsia" w:ascii="仿宋" w:hAnsi="仿宋" w:eastAsia="仿宋"/>
          <w:color w:val="auto"/>
          <w:szCs w:val="21"/>
          <w:u w:val="single"/>
        </w:rPr>
        <w:t xml:space="preserve">_____    </w:t>
      </w:r>
      <w:r>
        <w:rPr>
          <w:rFonts w:hint="eastAsia" w:ascii="仿宋" w:hAnsi="仿宋" w:eastAsia="仿宋"/>
          <w:color w:val="auto"/>
          <w:szCs w:val="21"/>
        </w:rPr>
        <w:t>年</w:t>
      </w:r>
      <w:r>
        <w:rPr>
          <w:rFonts w:hint="eastAsia" w:ascii="仿宋" w:hAnsi="仿宋" w:eastAsia="仿宋"/>
          <w:color w:val="auto"/>
          <w:szCs w:val="21"/>
          <w:u w:val="single"/>
        </w:rPr>
        <w:t>__   ___</w:t>
      </w:r>
      <w:r>
        <w:rPr>
          <w:rFonts w:hint="eastAsia" w:ascii="仿宋" w:hAnsi="仿宋" w:eastAsia="仿宋"/>
          <w:color w:val="auto"/>
          <w:szCs w:val="21"/>
        </w:rPr>
        <w:t>月</w:t>
      </w:r>
      <w:r>
        <w:rPr>
          <w:rFonts w:hint="eastAsia" w:ascii="仿宋" w:hAnsi="仿宋" w:eastAsia="仿宋"/>
          <w:color w:val="auto"/>
          <w:szCs w:val="21"/>
          <w:u w:val="single"/>
        </w:rPr>
        <w:t>___   __</w:t>
      </w:r>
      <w:r>
        <w:rPr>
          <w:rFonts w:hint="eastAsia" w:ascii="仿宋" w:hAnsi="仿宋" w:eastAsia="仿宋"/>
          <w:color w:val="auto"/>
          <w:szCs w:val="21"/>
        </w:rPr>
        <w:t>日</w:t>
      </w:r>
    </w:p>
    <w:p w14:paraId="695E746C">
      <w:pPr>
        <w:rPr>
          <w:rFonts w:ascii="仿宋" w:hAnsi="仿宋" w:eastAsia="仿宋"/>
          <w:color w:val="auto"/>
        </w:rPr>
      </w:pPr>
    </w:p>
    <w:p w14:paraId="237F222F">
      <w:pPr>
        <w:pStyle w:val="7"/>
        <w:rPr>
          <w:rFonts w:ascii="仿宋" w:hAnsi="仿宋" w:eastAsia="仿宋"/>
          <w:color w:val="auto"/>
        </w:rPr>
      </w:pPr>
      <w:r>
        <w:rPr>
          <w:rFonts w:hint="eastAsia" w:ascii="仿宋" w:hAnsi="仿宋" w:eastAsia="仿宋"/>
          <w:color w:val="auto"/>
        </w:rPr>
        <w:t>注：从业人员、营业收入、资产总额填报上一年度数据，无上一年度数据的新成立企业可不填报。本表只需要填报制造商信息，涉及货物的所有制造商均需要填报。</w:t>
      </w:r>
    </w:p>
    <w:p w14:paraId="43A0B20A">
      <w:pPr>
        <w:widowControl/>
        <w:jc w:val="left"/>
        <w:rPr>
          <w:rFonts w:ascii="仿宋" w:hAnsi="仿宋" w:eastAsia="仿宋"/>
          <w:color w:val="auto"/>
        </w:rPr>
      </w:pPr>
      <w:r>
        <w:rPr>
          <w:rFonts w:ascii="仿宋" w:hAnsi="仿宋" w:eastAsia="仿宋"/>
          <w:color w:val="auto"/>
        </w:rPr>
        <w:br w:type="page"/>
      </w:r>
    </w:p>
    <w:p w14:paraId="7035DAA1">
      <w:pPr>
        <w:pStyle w:val="7"/>
        <w:rPr>
          <w:rFonts w:ascii="仿宋" w:hAnsi="仿宋" w:eastAsia="仿宋"/>
          <w:color w:val="auto"/>
        </w:rPr>
      </w:pPr>
    </w:p>
    <w:p w14:paraId="68E48B2B">
      <w:pPr>
        <w:tabs>
          <w:tab w:val="left" w:pos="502"/>
          <w:tab w:val="left" w:pos="540"/>
          <w:tab w:val="left" w:pos="567"/>
        </w:tabs>
        <w:autoSpaceDE w:val="0"/>
        <w:autoSpaceDN w:val="0"/>
        <w:adjustRightInd w:val="0"/>
        <w:outlineLvl w:val="1"/>
        <w:rPr>
          <w:rFonts w:ascii="仿宋" w:hAnsi="仿宋" w:eastAsia="仿宋" w:cs="宋体"/>
          <w:b/>
          <w:bCs/>
          <w:color w:val="auto"/>
          <w:sz w:val="24"/>
        </w:rPr>
      </w:pPr>
      <w:bookmarkStart w:id="304" w:name="_Toc5479"/>
      <w:bookmarkStart w:id="305" w:name="_Toc495239026"/>
      <w:bookmarkStart w:id="306" w:name="_Toc149035970"/>
      <w:bookmarkStart w:id="307" w:name="_Toc495302344"/>
      <w:bookmarkStart w:id="308" w:name="_Toc495339476"/>
      <w:bookmarkStart w:id="309" w:name="_Toc494529001"/>
      <w:bookmarkStart w:id="310" w:name="_Toc496560144"/>
      <w:bookmarkStart w:id="311" w:name="_Toc496286383"/>
      <w:bookmarkStart w:id="312" w:name="_Toc4279"/>
      <w:bookmarkStart w:id="313" w:name="_Toc22809"/>
      <w:bookmarkStart w:id="314" w:name="_Toc496116446"/>
      <w:bookmarkStart w:id="315" w:name="_Toc496882865"/>
      <w:bookmarkStart w:id="316" w:name="OLE_LINK14"/>
      <w:bookmarkStart w:id="317" w:name="OLE_LINK13"/>
      <w:r>
        <w:rPr>
          <w:rFonts w:ascii="仿宋" w:hAnsi="仿宋" w:eastAsia="仿宋" w:cs="宋体"/>
          <w:b/>
          <w:bCs/>
          <w:color w:val="auto"/>
          <w:sz w:val="24"/>
        </w:rPr>
        <w:t xml:space="preserve">14. </w:t>
      </w:r>
      <w:r>
        <w:rPr>
          <w:rFonts w:hint="eastAsia" w:ascii="仿宋" w:hAnsi="仿宋" w:eastAsia="仿宋" w:cs="宋体"/>
          <w:b/>
          <w:bCs/>
          <w:color w:val="auto"/>
          <w:sz w:val="24"/>
        </w:rPr>
        <w:t>残疾人福利性单位声明函</w:t>
      </w:r>
      <w:bookmarkEnd w:id="304"/>
      <w:bookmarkEnd w:id="305"/>
      <w:bookmarkEnd w:id="306"/>
      <w:bookmarkEnd w:id="307"/>
      <w:bookmarkEnd w:id="308"/>
      <w:bookmarkEnd w:id="309"/>
      <w:bookmarkEnd w:id="310"/>
      <w:bookmarkEnd w:id="311"/>
      <w:bookmarkEnd w:id="312"/>
      <w:bookmarkEnd w:id="313"/>
      <w:bookmarkEnd w:id="314"/>
      <w:bookmarkEnd w:id="315"/>
    </w:p>
    <w:bookmarkEnd w:id="316"/>
    <w:bookmarkEnd w:id="317"/>
    <w:p w14:paraId="0CD93873">
      <w:pPr>
        <w:spacing w:line="360" w:lineRule="auto"/>
        <w:rPr>
          <w:rFonts w:ascii="仿宋" w:hAnsi="仿宋" w:eastAsia="仿宋" w:cs="宋体"/>
          <w:b/>
          <w:color w:val="auto"/>
          <w:spacing w:val="6"/>
          <w:szCs w:val="21"/>
        </w:rPr>
      </w:pPr>
    </w:p>
    <w:p w14:paraId="23D5C81D">
      <w:pPr>
        <w:spacing w:line="360" w:lineRule="auto"/>
        <w:ind w:firstLine="444" w:firstLineChars="200"/>
        <w:rPr>
          <w:rFonts w:ascii="仿宋" w:hAnsi="仿宋" w:eastAsia="仿宋"/>
          <w:color w:val="auto"/>
          <w:spacing w:val="6"/>
          <w:szCs w:val="21"/>
        </w:rPr>
      </w:pPr>
      <w:r>
        <w:rPr>
          <w:rFonts w:hint="eastAsia" w:ascii="仿宋" w:hAnsi="仿宋" w:eastAsia="仿宋"/>
          <w:color w:val="auto"/>
          <w:spacing w:val="6"/>
          <w:szCs w:val="21"/>
        </w:rPr>
        <w:t>本单位郑重声明，根据《财政部民政部中国残疾人联合会关于促进残疾人就业政府采购政策的通知》（财库</w:t>
      </w:r>
      <w:r>
        <w:rPr>
          <w:rFonts w:hint="eastAsia" w:ascii="仿宋" w:hAnsi="仿宋" w:eastAsia="仿宋"/>
          <w:color w:val="auto"/>
          <w:szCs w:val="21"/>
        </w:rPr>
        <w:t>〔</w:t>
      </w:r>
      <w:r>
        <w:rPr>
          <w:rFonts w:ascii="仿宋" w:hAnsi="仿宋" w:eastAsia="仿宋"/>
          <w:color w:val="auto"/>
          <w:szCs w:val="21"/>
        </w:rPr>
        <w:t>2017</w:t>
      </w:r>
      <w:r>
        <w:rPr>
          <w:rFonts w:hint="eastAsia" w:ascii="仿宋" w:hAnsi="仿宋" w:eastAsia="仿宋"/>
          <w:color w:val="auto"/>
          <w:szCs w:val="21"/>
        </w:rPr>
        <w:t>〕</w:t>
      </w:r>
      <w:r>
        <w:rPr>
          <w:rFonts w:ascii="仿宋" w:hAnsi="仿宋" w:eastAsia="仿宋"/>
          <w:color w:val="auto"/>
          <w:szCs w:val="21"/>
        </w:rPr>
        <w:t xml:space="preserve"> 141</w:t>
      </w:r>
      <w:r>
        <w:rPr>
          <w:rFonts w:hint="eastAsia" w:ascii="仿宋" w:hAnsi="仿宋" w:eastAsia="仿宋"/>
          <w:color w:val="auto"/>
          <w:spacing w:val="6"/>
          <w:szCs w:val="21"/>
        </w:rPr>
        <w:t>号）的规定，本单位为符合条件的残疾人福利性单位，且本单位参加</w:t>
      </w:r>
      <w:r>
        <w:rPr>
          <w:rFonts w:ascii="仿宋" w:hAnsi="仿宋" w:eastAsia="仿宋"/>
          <w:color w:val="auto"/>
          <w:spacing w:val="6"/>
          <w:szCs w:val="21"/>
        </w:rPr>
        <w:t>______</w:t>
      </w:r>
      <w:r>
        <w:rPr>
          <w:rFonts w:hint="eastAsia" w:ascii="仿宋" w:hAnsi="仿宋" w:eastAsia="仿宋"/>
          <w:color w:val="auto"/>
          <w:spacing w:val="6"/>
          <w:szCs w:val="21"/>
        </w:rPr>
        <w:t>单位的</w:t>
      </w:r>
      <w:r>
        <w:rPr>
          <w:rFonts w:ascii="仿宋" w:hAnsi="仿宋" w:eastAsia="仿宋"/>
          <w:color w:val="auto"/>
          <w:spacing w:val="6"/>
          <w:szCs w:val="21"/>
        </w:rPr>
        <w:t>______</w:t>
      </w:r>
      <w:r>
        <w:rPr>
          <w:rFonts w:hint="eastAsia" w:ascii="仿宋" w:hAnsi="仿宋" w:eastAsia="仿宋"/>
          <w:color w:val="auto"/>
          <w:spacing w:val="6"/>
          <w:szCs w:val="21"/>
        </w:rPr>
        <w:t>项目采购活动提供本单位制造的货物（由本单位承担工程</w:t>
      </w:r>
      <w:r>
        <w:rPr>
          <w:rFonts w:ascii="仿宋" w:hAnsi="仿宋" w:eastAsia="仿宋"/>
          <w:color w:val="auto"/>
          <w:spacing w:val="6"/>
          <w:szCs w:val="21"/>
        </w:rPr>
        <w:t>/</w:t>
      </w:r>
      <w:r>
        <w:rPr>
          <w:rFonts w:hint="eastAsia" w:ascii="仿宋" w:hAnsi="仿宋" w:eastAsia="仿宋"/>
          <w:color w:val="auto"/>
          <w:spacing w:val="6"/>
          <w:szCs w:val="21"/>
        </w:rPr>
        <w:t>提供服务），或者提供其他残疾人福利性单位制造的货物（不包括使用非残疾人福利性单位注册商标的货物）。</w:t>
      </w:r>
    </w:p>
    <w:p w14:paraId="3F270427">
      <w:pPr>
        <w:spacing w:line="360" w:lineRule="auto"/>
        <w:ind w:firstLine="444" w:firstLineChars="200"/>
        <w:rPr>
          <w:rFonts w:ascii="仿宋" w:hAnsi="仿宋" w:eastAsia="仿宋"/>
          <w:color w:val="auto"/>
          <w:spacing w:val="6"/>
          <w:szCs w:val="21"/>
        </w:rPr>
      </w:pPr>
      <w:r>
        <w:rPr>
          <w:rFonts w:hint="eastAsia" w:ascii="仿宋" w:hAnsi="仿宋" w:eastAsia="仿宋"/>
          <w:color w:val="auto"/>
          <w:spacing w:val="6"/>
          <w:szCs w:val="21"/>
        </w:rPr>
        <w:t>本单位对上述声明的真实性负责。如有虚假，将依法承担相应责任。</w:t>
      </w:r>
    </w:p>
    <w:p w14:paraId="3F5FEA37">
      <w:pPr>
        <w:spacing w:line="360" w:lineRule="auto"/>
        <w:ind w:firstLine="444" w:firstLineChars="200"/>
        <w:rPr>
          <w:rFonts w:ascii="仿宋" w:hAnsi="仿宋" w:eastAsia="仿宋" w:cs="宋体"/>
          <w:color w:val="auto"/>
          <w:spacing w:val="6"/>
          <w:szCs w:val="21"/>
        </w:rPr>
      </w:pPr>
    </w:p>
    <w:p w14:paraId="16EBA611">
      <w:pPr>
        <w:pStyle w:val="7"/>
        <w:rPr>
          <w:rFonts w:ascii="仿宋" w:hAnsi="仿宋" w:eastAsia="仿宋"/>
          <w:color w:val="auto"/>
        </w:rPr>
      </w:pPr>
    </w:p>
    <w:p w14:paraId="5F8F97DF">
      <w:pPr>
        <w:spacing w:line="360" w:lineRule="auto"/>
        <w:ind w:firstLine="446" w:firstLineChars="200"/>
        <w:rPr>
          <w:rFonts w:ascii="仿宋" w:hAnsi="仿宋" w:eastAsia="仿宋" w:cs="宋体"/>
          <w:b/>
          <w:bCs/>
          <w:color w:val="auto"/>
          <w:spacing w:val="6"/>
          <w:szCs w:val="21"/>
        </w:rPr>
      </w:pPr>
      <w:r>
        <w:rPr>
          <w:rFonts w:hint="eastAsia" w:ascii="仿宋" w:hAnsi="仿宋" w:eastAsia="仿宋" w:cs="宋体"/>
          <w:b/>
          <w:bCs/>
          <w:color w:val="auto"/>
          <w:spacing w:val="6"/>
          <w:szCs w:val="21"/>
        </w:rPr>
        <w:t>备注：如不属于残疾人福利企业，可直接声明本单位不属于残疾人福利企业。</w:t>
      </w:r>
    </w:p>
    <w:p w14:paraId="0FF324CF">
      <w:pPr>
        <w:pStyle w:val="7"/>
        <w:rPr>
          <w:rFonts w:ascii="仿宋" w:hAnsi="仿宋" w:eastAsia="仿宋"/>
          <w:color w:val="auto"/>
        </w:rPr>
      </w:pPr>
    </w:p>
    <w:p w14:paraId="1D6D9F24">
      <w:pPr>
        <w:adjustRightInd w:val="0"/>
        <w:snapToGrid w:val="0"/>
        <w:spacing w:line="360" w:lineRule="auto"/>
        <w:rPr>
          <w:rFonts w:ascii="仿宋" w:hAnsi="仿宋" w:eastAsia="仿宋" w:cs="宋体"/>
          <w:color w:val="auto"/>
          <w:szCs w:val="21"/>
        </w:rPr>
      </w:pPr>
      <w:r>
        <w:rPr>
          <w:rFonts w:hint="eastAsia" w:ascii="仿宋" w:hAnsi="仿宋" w:eastAsia="仿宋" w:cs="宋体"/>
          <w:color w:val="auto"/>
          <w:szCs w:val="21"/>
        </w:rPr>
        <w:t>单位名称（盖章）：</w:t>
      </w:r>
    </w:p>
    <w:p w14:paraId="6E27EE39">
      <w:pPr>
        <w:adjustRightInd w:val="0"/>
        <w:snapToGrid w:val="0"/>
        <w:spacing w:line="360" w:lineRule="auto"/>
        <w:rPr>
          <w:rFonts w:ascii="仿宋" w:hAnsi="仿宋" w:eastAsia="仿宋" w:cs="宋体"/>
          <w:color w:val="auto"/>
          <w:szCs w:val="21"/>
        </w:rPr>
      </w:pPr>
      <w:r>
        <w:rPr>
          <w:rFonts w:hint="eastAsia" w:ascii="仿宋" w:hAnsi="仿宋" w:eastAsia="仿宋" w:cs="宋体"/>
          <w:color w:val="auto"/>
          <w:szCs w:val="21"/>
        </w:rPr>
        <w:t>时           间：年月日</w:t>
      </w:r>
    </w:p>
    <w:p w14:paraId="3B5712E6">
      <w:pPr>
        <w:pStyle w:val="7"/>
        <w:rPr>
          <w:rFonts w:ascii="仿宋" w:hAnsi="仿宋" w:eastAsia="仿宋" w:cs="宋体"/>
          <w:color w:val="auto"/>
          <w:szCs w:val="21"/>
        </w:rPr>
      </w:pPr>
    </w:p>
    <w:p w14:paraId="042788B0">
      <w:pPr>
        <w:pStyle w:val="7"/>
        <w:rPr>
          <w:rFonts w:ascii="仿宋" w:hAnsi="仿宋" w:eastAsia="仿宋" w:cs="宋体"/>
          <w:color w:val="auto"/>
          <w:szCs w:val="21"/>
        </w:rPr>
      </w:pPr>
      <w:r>
        <w:rPr>
          <w:rFonts w:hint="eastAsia" w:ascii="仿宋" w:hAnsi="仿宋" w:eastAsia="仿宋" w:cs="宋体"/>
          <w:color w:val="auto"/>
          <w:szCs w:val="21"/>
        </w:rPr>
        <w:t>附注：</w:t>
      </w:r>
    </w:p>
    <w:p w14:paraId="70C65CC0">
      <w:pPr>
        <w:pStyle w:val="7"/>
        <w:rPr>
          <w:rFonts w:ascii="仿宋" w:hAnsi="仿宋" w:eastAsia="仿宋" w:cs="宋体"/>
          <w:color w:val="auto"/>
          <w:szCs w:val="21"/>
        </w:rPr>
      </w:pPr>
      <w:r>
        <w:rPr>
          <w:rFonts w:ascii="仿宋" w:hAnsi="仿宋" w:eastAsia="仿宋" w:cs="宋体"/>
          <w:color w:val="auto"/>
          <w:szCs w:val="21"/>
        </w:rPr>
        <w:t>一、享受政府采购支持政策的残疾人福利性单位应当同时满足以下条件：</w:t>
      </w:r>
    </w:p>
    <w:p w14:paraId="05EB30A5">
      <w:pPr>
        <w:pStyle w:val="7"/>
        <w:rPr>
          <w:rFonts w:ascii="仿宋" w:hAnsi="仿宋" w:eastAsia="仿宋" w:cs="宋体"/>
          <w:color w:val="auto"/>
          <w:szCs w:val="21"/>
        </w:rPr>
      </w:pPr>
      <w:r>
        <w:rPr>
          <w:rFonts w:ascii="仿宋" w:hAnsi="仿宋" w:eastAsia="仿宋" w:cs="宋体"/>
          <w:color w:val="auto"/>
          <w:szCs w:val="21"/>
        </w:rPr>
        <w:t>（一）安置的残疾人占本单位在职职工人数的比例不低于25%（含25%），并且安置的残疾人人数不少于10人（含10人）；</w:t>
      </w:r>
    </w:p>
    <w:p w14:paraId="7DF64D6A">
      <w:pPr>
        <w:pStyle w:val="7"/>
        <w:rPr>
          <w:rFonts w:ascii="仿宋" w:hAnsi="仿宋" w:eastAsia="仿宋" w:cs="宋体"/>
          <w:color w:val="auto"/>
          <w:szCs w:val="21"/>
        </w:rPr>
      </w:pPr>
      <w:r>
        <w:rPr>
          <w:rFonts w:ascii="仿宋" w:hAnsi="仿宋" w:eastAsia="仿宋" w:cs="宋体"/>
          <w:color w:val="auto"/>
          <w:szCs w:val="21"/>
        </w:rPr>
        <w:t>（二）依法与安置的每位残疾人签订了一年以上（含一年）的劳动合同或服务协议；</w:t>
      </w:r>
    </w:p>
    <w:p w14:paraId="12077699">
      <w:pPr>
        <w:pStyle w:val="7"/>
        <w:rPr>
          <w:rFonts w:ascii="仿宋" w:hAnsi="仿宋" w:eastAsia="仿宋" w:cs="宋体"/>
          <w:color w:val="auto"/>
          <w:szCs w:val="21"/>
        </w:rPr>
      </w:pPr>
      <w:r>
        <w:rPr>
          <w:rFonts w:ascii="仿宋" w:hAnsi="仿宋" w:eastAsia="仿宋" w:cs="宋体"/>
          <w:color w:val="auto"/>
          <w:szCs w:val="21"/>
        </w:rPr>
        <w:t>（三）为安置的每位残疾人按月足额缴纳了基本养老保险、基本医疗保险、失业保险、工伤保险和生育保险等社会保险费；</w:t>
      </w:r>
    </w:p>
    <w:p w14:paraId="2F5E84AD">
      <w:pPr>
        <w:pStyle w:val="7"/>
        <w:rPr>
          <w:rFonts w:ascii="仿宋" w:hAnsi="仿宋" w:eastAsia="仿宋" w:cs="宋体"/>
          <w:color w:val="auto"/>
          <w:szCs w:val="21"/>
        </w:rPr>
      </w:pPr>
      <w:r>
        <w:rPr>
          <w:rFonts w:ascii="仿宋" w:hAnsi="仿宋" w:eastAsia="仿宋" w:cs="宋体"/>
          <w:color w:val="auto"/>
          <w:szCs w:val="21"/>
        </w:rPr>
        <w:t>（四）通过银行等金融机构向安置的每位残疾人，按月支付了不低于单位所在区县适用的经省级人民政府批准的月最低工资标准的工资；</w:t>
      </w:r>
    </w:p>
    <w:p w14:paraId="76E5B4AF">
      <w:pPr>
        <w:pStyle w:val="7"/>
        <w:rPr>
          <w:rFonts w:ascii="仿宋" w:hAnsi="仿宋" w:eastAsia="仿宋" w:cs="宋体"/>
          <w:color w:val="auto"/>
          <w:szCs w:val="21"/>
        </w:rPr>
      </w:pPr>
      <w:r>
        <w:rPr>
          <w:rFonts w:ascii="仿宋" w:hAnsi="仿宋" w:eastAsia="仿宋" w:cs="宋体"/>
          <w:color w:val="auto"/>
          <w:szCs w:val="21"/>
        </w:rPr>
        <w:t>（五）提供本单位制造的货物、承担的工程或者服务（以下简称产品），或者提供其他残疾人福利性单位制造的货物（不包括使用非残疾人福利性单位注册商标的货物）。</w:t>
      </w:r>
    </w:p>
    <w:p w14:paraId="7545E8A5">
      <w:pPr>
        <w:pStyle w:val="7"/>
        <w:rPr>
          <w:rFonts w:ascii="仿宋" w:hAnsi="仿宋" w:eastAsia="仿宋" w:cs="宋体"/>
          <w:color w:val="auto"/>
          <w:szCs w:val="21"/>
        </w:rPr>
      </w:pPr>
      <w:r>
        <w:rPr>
          <w:rFonts w:ascii="仿宋" w:hAnsi="仿宋" w:eastAsia="仿宋" w:cs="宋体"/>
          <w:color w:val="auto"/>
          <w:szCs w:val="21"/>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D153B34">
      <w:pPr>
        <w:tabs>
          <w:tab w:val="left" w:pos="502"/>
          <w:tab w:val="left" w:pos="540"/>
          <w:tab w:val="left" w:pos="567"/>
        </w:tabs>
        <w:autoSpaceDE w:val="0"/>
        <w:autoSpaceDN w:val="0"/>
        <w:adjustRightInd w:val="0"/>
        <w:ind w:left="142"/>
        <w:outlineLvl w:val="1"/>
        <w:rPr>
          <w:rFonts w:ascii="仿宋" w:hAnsi="仿宋" w:eastAsia="仿宋" w:cs="宋体"/>
          <w:b/>
          <w:bCs/>
          <w:color w:val="auto"/>
          <w:sz w:val="24"/>
        </w:rPr>
      </w:pPr>
      <w:bookmarkStart w:id="318" w:name="_Toc7229"/>
      <w:bookmarkStart w:id="319" w:name="_Toc476839034"/>
      <w:r>
        <w:rPr>
          <w:rFonts w:hint="eastAsia" w:ascii="仿宋" w:hAnsi="仿宋" w:eastAsia="仿宋" w:cs="宋体"/>
          <w:b/>
          <w:bCs/>
          <w:color w:val="auto"/>
          <w:sz w:val="24"/>
        </w:rPr>
        <w:br w:type="page"/>
      </w:r>
      <w:bookmarkStart w:id="320" w:name="_Toc4731"/>
      <w:bookmarkStart w:id="321" w:name="_Toc149035971"/>
      <w:bookmarkStart w:id="322" w:name="_Toc13394"/>
      <w:r>
        <w:rPr>
          <w:rFonts w:ascii="仿宋" w:hAnsi="仿宋" w:eastAsia="仿宋" w:cs="宋体"/>
          <w:b/>
          <w:bCs/>
          <w:color w:val="auto"/>
          <w:sz w:val="24"/>
        </w:rPr>
        <w:t xml:space="preserve">15. </w:t>
      </w:r>
      <w:r>
        <w:rPr>
          <w:rFonts w:hint="eastAsia" w:ascii="仿宋" w:hAnsi="仿宋" w:eastAsia="仿宋" w:cs="宋体"/>
          <w:b/>
          <w:bCs/>
          <w:color w:val="auto"/>
          <w:sz w:val="24"/>
        </w:rPr>
        <w:t>无重大违法记录声明</w:t>
      </w:r>
      <w:bookmarkEnd w:id="318"/>
      <w:bookmarkEnd w:id="319"/>
      <w:bookmarkEnd w:id="320"/>
      <w:bookmarkEnd w:id="321"/>
      <w:bookmarkEnd w:id="322"/>
    </w:p>
    <w:p w14:paraId="7431D3BB">
      <w:pPr>
        <w:spacing w:line="480" w:lineRule="auto"/>
        <w:rPr>
          <w:rFonts w:ascii="仿宋" w:hAnsi="仿宋" w:eastAsia="仿宋" w:cs="宋体"/>
          <w:color w:val="auto"/>
          <w:kern w:val="0"/>
          <w:sz w:val="24"/>
        </w:rPr>
      </w:pPr>
    </w:p>
    <w:p w14:paraId="51D99C6A">
      <w:pPr>
        <w:spacing w:line="480" w:lineRule="auto"/>
        <w:rPr>
          <w:rFonts w:ascii="仿宋" w:hAnsi="仿宋" w:eastAsia="仿宋" w:cs="宋体"/>
          <w:color w:val="auto"/>
          <w:szCs w:val="21"/>
        </w:rPr>
      </w:pPr>
      <w:r>
        <w:rPr>
          <w:rFonts w:hint="eastAsia" w:ascii="仿宋" w:hAnsi="仿宋" w:eastAsia="仿宋" w:cs="宋体"/>
          <w:color w:val="auto"/>
          <w:kern w:val="0"/>
          <w:szCs w:val="21"/>
        </w:rPr>
        <w:t>采购人和采购代理机构：</w:t>
      </w:r>
    </w:p>
    <w:p w14:paraId="7FA0A221">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rPr>
        <w:t>我方在此声明，我方在参加本</w:t>
      </w:r>
      <w:r>
        <w:rPr>
          <w:rFonts w:hint="eastAsia" w:ascii="仿宋" w:hAnsi="仿宋" w:eastAsia="仿宋" w:cs="宋体"/>
          <w:color w:val="auto"/>
          <w:kern w:val="0"/>
          <w:szCs w:val="21"/>
          <w:shd w:val="clear" w:color="auto" w:fill="FFFFFF"/>
        </w:rPr>
        <w:t>次采购活动前三年内，在经营活动中没有以下重大违法记录：</w:t>
      </w:r>
    </w:p>
    <w:p w14:paraId="236445FE">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shd w:val="clear" w:color="auto" w:fill="FFFFFF"/>
        </w:rPr>
        <w:t>1.我方因违法经营被追究过刑事责任；</w:t>
      </w:r>
    </w:p>
    <w:p w14:paraId="17FA83BE">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shd w:val="clear" w:color="auto" w:fill="FFFFFF"/>
        </w:rPr>
        <w:t>2.我方因违法经营被责令停产停业、吊销许可证或者执照；</w:t>
      </w:r>
    </w:p>
    <w:p w14:paraId="0E163094">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shd w:val="clear" w:color="auto" w:fill="FFFFFF"/>
        </w:rPr>
        <w:t>3.我方因违法经营被处以较大数额罚款等行政处罚。</w:t>
      </w:r>
    </w:p>
    <w:p w14:paraId="2EDFB014">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shd w:val="clear" w:color="auto" w:fill="FFFFFF"/>
        </w:rPr>
        <w:t>我方保证上述信息的完整、客观、真实、准确，并愿意承担我方因提供虚假材料谋骗取中标、成交所引起的一切法律后果。</w:t>
      </w:r>
    </w:p>
    <w:p w14:paraId="77361095">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shd w:val="clear" w:color="auto" w:fill="FFFFFF"/>
        </w:rPr>
        <w:t>特此声明！</w:t>
      </w:r>
    </w:p>
    <w:p w14:paraId="6E7F5531">
      <w:pPr>
        <w:spacing w:line="480" w:lineRule="auto"/>
        <w:rPr>
          <w:rFonts w:ascii="仿宋" w:hAnsi="仿宋" w:eastAsia="仿宋" w:cs="宋体"/>
          <w:color w:val="auto"/>
          <w:szCs w:val="21"/>
        </w:rPr>
      </w:pPr>
    </w:p>
    <w:p w14:paraId="2ED33E05">
      <w:pPr>
        <w:spacing w:line="480" w:lineRule="auto"/>
        <w:rPr>
          <w:rFonts w:ascii="仿宋" w:hAnsi="仿宋" w:eastAsia="仿宋" w:cs="宋体"/>
          <w:color w:val="auto"/>
          <w:szCs w:val="21"/>
        </w:rPr>
      </w:pPr>
    </w:p>
    <w:p w14:paraId="4DFB5546">
      <w:pPr>
        <w:spacing w:line="480" w:lineRule="auto"/>
        <w:rPr>
          <w:rFonts w:ascii="仿宋" w:hAnsi="仿宋" w:eastAsia="仿宋" w:cs="宋体"/>
          <w:color w:val="auto"/>
          <w:szCs w:val="21"/>
        </w:rPr>
      </w:pPr>
    </w:p>
    <w:p w14:paraId="056FA3EE">
      <w:pPr>
        <w:spacing w:line="480" w:lineRule="auto"/>
        <w:rPr>
          <w:rFonts w:ascii="仿宋" w:hAnsi="仿宋" w:eastAsia="仿宋" w:cs="宋体"/>
          <w:color w:val="auto"/>
          <w:szCs w:val="21"/>
        </w:rPr>
      </w:pPr>
      <w:r>
        <w:rPr>
          <w:rFonts w:hint="eastAsia" w:ascii="仿宋" w:hAnsi="仿宋" w:eastAsia="仿宋" w:cs="宋体"/>
          <w:color w:val="auto"/>
          <w:kern w:val="0"/>
          <w:szCs w:val="21"/>
          <w:shd w:val="clear" w:color="auto" w:fill="FFFFFF"/>
        </w:rPr>
        <w:t>供应商</w:t>
      </w:r>
      <w:r>
        <w:rPr>
          <w:rFonts w:hint="eastAsia" w:ascii="仿宋" w:hAnsi="仿宋" w:eastAsia="仿宋" w:cs="宋体"/>
          <w:color w:val="auto"/>
          <w:szCs w:val="21"/>
        </w:rPr>
        <w:t>法定代表人或委托代理人签字：</w:t>
      </w:r>
    </w:p>
    <w:p w14:paraId="1DC6738F">
      <w:pPr>
        <w:spacing w:line="480" w:lineRule="auto"/>
        <w:rPr>
          <w:rFonts w:ascii="仿宋" w:hAnsi="仿宋" w:eastAsia="仿宋" w:cs="宋体"/>
          <w:bCs/>
          <w:color w:val="auto"/>
          <w:szCs w:val="21"/>
          <w:u w:val="single"/>
        </w:rPr>
      </w:pPr>
      <w:r>
        <w:rPr>
          <w:rFonts w:hint="eastAsia" w:ascii="仿宋" w:hAnsi="仿宋" w:eastAsia="仿宋" w:cs="宋体"/>
          <w:color w:val="auto"/>
          <w:szCs w:val="21"/>
        </w:rPr>
        <w:t>供应商名称（盖章）：</w:t>
      </w:r>
    </w:p>
    <w:p w14:paraId="6302153C">
      <w:pPr>
        <w:spacing w:line="480" w:lineRule="auto"/>
        <w:rPr>
          <w:rFonts w:ascii="仿宋" w:hAnsi="仿宋" w:eastAsia="仿宋" w:cs="宋体"/>
          <w:color w:val="auto"/>
          <w:szCs w:val="21"/>
        </w:rPr>
      </w:pPr>
      <w:r>
        <w:rPr>
          <w:rFonts w:hint="eastAsia" w:ascii="仿宋" w:hAnsi="仿宋" w:eastAsia="仿宋" w:cs="宋体"/>
          <w:color w:val="auto"/>
          <w:szCs w:val="21"/>
        </w:rPr>
        <w:t>时             间</w:t>
      </w:r>
      <w:r>
        <w:rPr>
          <w:rFonts w:hint="eastAsia" w:ascii="仿宋" w:hAnsi="仿宋" w:eastAsia="仿宋" w:cs="宋体"/>
          <w:color w:val="auto"/>
          <w:kern w:val="0"/>
          <w:szCs w:val="21"/>
          <w:shd w:val="clear" w:color="auto" w:fill="FFFFFF"/>
        </w:rPr>
        <w:t>：</w:t>
      </w:r>
      <w:r>
        <w:rPr>
          <w:rFonts w:hint="eastAsia" w:ascii="仿宋" w:hAnsi="仿宋" w:eastAsia="仿宋" w:cs="宋体"/>
          <w:color w:val="auto"/>
          <w:szCs w:val="21"/>
        </w:rPr>
        <w:t>年月日</w:t>
      </w:r>
    </w:p>
    <w:p w14:paraId="57F0BC8B">
      <w:pPr>
        <w:pStyle w:val="7"/>
        <w:rPr>
          <w:color w:val="auto"/>
        </w:rPr>
      </w:pPr>
      <w:r>
        <w:rPr>
          <w:color w:val="auto"/>
        </w:rPr>
        <w:br w:type="page"/>
      </w:r>
    </w:p>
    <w:p w14:paraId="41797730">
      <w:pPr>
        <w:numPr>
          <w:ilvl w:val="0"/>
          <w:numId w:val="39"/>
        </w:numPr>
        <w:tabs>
          <w:tab w:val="left" w:pos="502"/>
          <w:tab w:val="left" w:pos="540"/>
          <w:tab w:val="left" w:pos="567"/>
        </w:tabs>
        <w:autoSpaceDE w:val="0"/>
        <w:autoSpaceDN w:val="0"/>
        <w:adjustRightInd w:val="0"/>
        <w:ind w:left="142"/>
        <w:outlineLvl w:val="1"/>
        <w:rPr>
          <w:rFonts w:ascii="仿宋" w:hAnsi="仿宋" w:eastAsia="仿宋" w:cs="宋体"/>
          <w:b/>
          <w:bCs/>
          <w:color w:val="auto"/>
          <w:sz w:val="24"/>
        </w:rPr>
      </w:pPr>
      <w:bookmarkStart w:id="323" w:name="_Toc149035972"/>
      <w:bookmarkStart w:id="324" w:name="_Toc4473"/>
      <w:bookmarkStart w:id="325" w:name="_Toc9020"/>
      <w:r>
        <w:rPr>
          <w:rFonts w:hint="eastAsia" w:ascii="仿宋" w:hAnsi="仿宋" w:eastAsia="仿宋" w:cs="宋体"/>
          <w:b/>
          <w:bCs/>
          <w:color w:val="auto"/>
          <w:sz w:val="24"/>
        </w:rPr>
        <w:t>声明函</w:t>
      </w:r>
      <w:bookmarkEnd w:id="323"/>
      <w:bookmarkEnd w:id="324"/>
      <w:bookmarkEnd w:id="325"/>
    </w:p>
    <w:p w14:paraId="18BF3E99">
      <w:pPr>
        <w:spacing w:line="480" w:lineRule="auto"/>
        <w:rPr>
          <w:rFonts w:ascii="仿宋" w:hAnsi="仿宋" w:eastAsia="仿宋" w:cs="宋体"/>
          <w:color w:val="auto"/>
          <w:kern w:val="0"/>
          <w:sz w:val="24"/>
        </w:rPr>
      </w:pPr>
    </w:p>
    <w:p w14:paraId="312FE1F0">
      <w:pPr>
        <w:spacing w:line="480" w:lineRule="auto"/>
        <w:ind w:firstLine="420" w:firstLineChars="200"/>
        <w:rPr>
          <w:rFonts w:ascii="仿宋" w:hAnsi="仿宋" w:eastAsia="仿宋" w:cs="宋体"/>
          <w:color w:val="auto"/>
          <w:kern w:val="0"/>
          <w:szCs w:val="21"/>
        </w:rPr>
      </w:pPr>
      <w:r>
        <w:rPr>
          <w:rFonts w:hint="eastAsia" w:ascii="仿宋" w:hAnsi="仿宋" w:eastAsia="仿宋" w:cs="宋体"/>
          <w:color w:val="auto"/>
          <w:kern w:val="0"/>
          <w:szCs w:val="21"/>
        </w:rPr>
        <w:t>采购人和采购代理机构：</w:t>
      </w:r>
    </w:p>
    <w:p w14:paraId="63FA3936">
      <w:pPr>
        <w:spacing w:line="480" w:lineRule="auto"/>
        <w:ind w:firstLine="420" w:firstLineChars="200"/>
        <w:rPr>
          <w:rFonts w:ascii="仿宋" w:hAnsi="仿宋" w:eastAsia="仿宋" w:cs="宋体"/>
          <w:color w:val="auto"/>
          <w:kern w:val="0"/>
          <w:szCs w:val="21"/>
        </w:rPr>
      </w:pPr>
      <w:r>
        <w:rPr>
          <w:rFonts w:hint="eastAsia" w:ascii="仿宋" w:hAnsi="仿宋" w:eastAsia="仿宋" w:cs="宋体"/>
          <w:color w:val="auto"/>
          <w:kern w:val="0"/>
          <w:szCs w:val="21"/>
        </w:rPr>
        <w:t>我方在此声明，我方单位负责人与其它投标单位的负责人不为同一人，且我单位与其它投标单位也不存在直接控股、管理关系。我方没有为本采购项目提供整体设计、规范编制或者项目管理、监理、检测等服务。</w:t>
      </w:r>
    </w:p>
    <w:p w14:paraId="01B5A6A1">
      <w:pPr>
        <w:spacing w:line="480" w:lineRule="auto"/>
        <w:ind w:firstLine="420" w:firstLineChars="200"/>
        <w:rPr>
          <w:rFonts w:ascii="仿宋" w:hAnsi="仿宋" w:eastAsia="仿宋" w:cs="宋体"/>
          <w:color w:val="auto"/>
          <w:kern w:val="0"/>
          <w:szCs w:val="21"/>
        </w:rPr>
      </w:pPr>
      <w:r>
        <w:rPr>
          <w:rFonts w:hint="eastAsia" w:ascii="仿宋" w:hAnsi="仿宋" w:eastAsia="仿宋" w:cs="宋体"/>
          <w:color w:val="auto"/>
          <w:kern w:val="0"/>
          <w:szCs w:val="21"/>
        </w:rPr>
        <w:t>我方保证上述信息的完整、客观、真实、准确，并愿意承担我方因提供虚假材料谋骗取中标、成交所引起的一切法律后果。</w:t>
      </w:r>
    </w:p>
    <w:p w14:paraId="749D0E4A">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rPr>
        <w:t>特此声明！</w:t>
      </w:r>
    </w:p>
    <w:p w14:paraId="62BF22A5">
      <w:pPr>
        <w:spacing w:line="480" w:lineRule="auto"/>
        <w:rPr>
          <w:rFonts w:ascii="仿宋" w:hAnsi="仿宋" w:eastAsia="仿宋" w:cs="宋体"/>
          <w:color w:val="auto"/>
          <w:szCs w:val="21"/>
        </w:rPr>
      </w:pPr>
    </w:p>
    <w:p w14:paraId="55DDEB13">
      <w:pPr>
        <w:autoSpaceDE w:val="0"/>
        <w:autoSpaceDN w:val="0"/>
        <w:adjustRightInd w:val="0"/>
        <w:jc w:val="center"/>
        <w:rPr>
          <w:rFonts w:ascii="仿宋" w:hAnsi="仿宋" w:eastAsia="仿宋" w:cs="宋体"/>
          <w:color w:val="auto"/>
          <w:szCs w:val="21"/>
        </w:rPr>
      </w:pPr>
    </w:p>
    <w:p w14:paraId="63B93F98">
      <w:pPr>
        <w:spacing w:line="480" w:lineRule="auto"/>
        <w:ind w:firstLine="420" w:firstLineChars="200"/>
        <w:rPr>
          <w:rFonts w:ascii="仿宋" w:hAnsi="仿宋" w:eastAsia="仿宋" w:cs="宋体"/>
          <w:color w:val="auto"/>
          <w:szCs w:val="21"/>
        </w:rPr>
      </w:pPr>
      <w:r>
        <w:rPr>
          <w:rFonts w:hint="eastAsia" w:ascii="仿宋" w:hAnsi="仿宋" w:eastAsia="仿宋" w:cs="宋体"/>
          <w:color w:val="auto"/>
          <w:kern w:val="0"/>
          <w:szCs w:val="21"/>
          <w:shd w:val="clear" w:color="auto" w:fill="FFFFFF"/>
        </w:rPr>
        <w:t>供应商</w:t>
      </w:r>
      <w:r>
        <w:rPr>
          <w:rFonts w:hint="eastAsia" w:ascii="仿宋" w:hAnsi="仿宋" w:eastAsia="仿宋" w:cs="宋体"/>
          <w:color w:val="auto"/>
          <w:szCs w:val="21"/>
        </w:rPr>
        <w:t>法定代表人或委托代理人签字：</w:t>
      </w:r>
    </w:p>
    <w:p w14:paraId="7F27AD10">
      <w:pPr>
        <w:spacing w:line="480" w:lineRule="auto"/>
        <w:ind w:firstLine="420" w:firstLineChars="200"/>
        <w:rPr>
          <w:rFonts w:ascii="仿宋" w:hAnsi="仿宋" w:eastAsia="仿宋" w:cs="宋体"/>
          <w:bCs/>
          <w:color w:val="auto"/>
          <w:szCs w:val="21"/>
          <w:u w:val="single"/>
        </w:rPr>
      </w:pPr>
      <w:r>
        <w:rPr>
          <w:rFonts w:hint="eastAsia" w:ascii="仿宋" w:hAnsi="仿宋" w:eastAsia="仿宋" w:cs="宋体"/>
          <w:color w:val="auto"/>
          <w:szCs w:val="21"/>
        </w:rPr>
        <w:t>供应商名称（盖章）：</w:t>
      </w:r>
    </w:p>
    <w:p w14:paraId="194B191C">
      <w:pPr>
        <w:spacing w:line="480" w:lineRule="auto"/>
        <w:ind w:firstLine="420" w:firstLineChars="200"/>
        <w:rPr>
          <w:rFonts w:ascii="仿宋" w:hAnsi="仿宋" w:eastAsia="仿宋" w:cs="宋体"/>
          <w:color w:val="auto"/>
          <w:szCs w:val="21"/>
        </w:rPr>
      </w:pPr>
      <w:r>
        <w:rPr>
          <w:rFonts w:hint="eastAsia" w:ascii="仿宋" w:hAnsi="仿宋" w:eastAsia="仿宋" w:cs="宋体"/>
          <w:color w:val="auto"/>
          <w:szCs w:val="21"/>
        </w:rPr>
        <w:t>时             间</w:t>
      </w:r>
      <w:r>
        <w:rPr>
          <w:rFonts w:hint="eastAsia" w:ascii="仿宋" w:hAnsi="仿宋" w:eastAsia="仿宋" w:cs="宋体"/>
          <w:color w:val="auto"/>
          <w:kern w:val="0"/>
          <w:szCs w:val="21"/>
          <w:shd w:val="clear" w:color="auto" w:fill="FFFFFF"/>
        </w:rPr>
        <w:t xml:space="preserve">： </w:t>
      </w:r>
      <w:r>
        <w:rPr>
          <w:rFonts w:ascii="仿宋" w:hAnsi="仿宋" w:eastAsia="仿宋" w:cs="宋体"/>
          <w:color w:val="auto"/>
          <w:kern w:val="0"/>
          <w:szCs w:val="21"/>
          <w:shd w:val="clear" w:color="auto" w:fill="FFFFFF"/>
        </w:rPr>
        <w:t xml:space="preserve">  </w:t>
      </w:r>
      <w:r>
        <w:rPr>
          <w:rFonts w:hint="eastAsia" w:ascii="仿宋" w:hAnsi="仿宋" w:eastAsia="仿宋" w:cs="宋体"/>
          <w:color w:val="auto"/>
          <w:szCs w:val="21"/>
        </w:rPr>
        <w:t xml:space="preserve">年 </w:t>
      </w:r>
      <w:r>
        <w:rPr>
          <w:rFonts w:ascii="仿宋" w:hAnsi="仿宋" w:eastAsia="仿宋" w:cs="宋体"/>
          <w:color w:val="auto"/>
          <w:szCs w:val="21"/>
        </w:rPr>
        <w:t xml:space="preserve">  </w:t>
      </w:r>
      <w:r>
        <w:rPr>
          <w:rFonts w:hint="eastAsia" w:ascii="仿宋" w:hAnsi="仿宋" w:eastAsia="仿宋" w:cs="宋体"/>
          <w:color w:val="auto"/>
          <w:szCs w:val="21"/>
        </w:rPr>
        <w:t xml:space="preserve">月  </w:t>
      </w:r>
      <w:r>
        <w:rPr>
          <w:rFonts w:ascii="仿宋" w:hAnsi="仿宋" w:eastAsia="仿宋" w:cs="宋体"/>
          <w:color w:val="auto"/>
          <w:szCs w:val="21"/>
        </w:rPr>
        <w:t xml:space="preserve"> </w:t>
      </w:r>
      <w:r>
        <w:rPr>
          <w:rFonts w:hint="eastAsia" w:ascii="仿宋" w:hAnsi="仿宋" w:eastAsia="仿宋" w:cs="宋体"/>
          <w:color w:val="auto"/>
          <w:szCs w:val="21"/>
        </w:rPr>
        <w:t>日</w:t>
      </w:r>
    </w:p>
    <w:p w14:paraId="167B0C39">
      <w:pPr>
        <w:pStyle w:val="7"/>
        <w:rPr>
          <w:color w:val="auto"/>
        </w:rPr>
      </w:pPr>
      <w:r>
        <w:rPr>
          <w:color w:val="auto"/>
        </w:rPr>
        <w:br w:type="page"/>
      </w:r>
    </w:p>
    <w:p w14:paraId="003932E4">
      <w:pPr>
        <w:numPr>
          <w:ilvl w:val="0"/>
          <w:numId w:val="39"/>
        </w:numPr>
        <w:tabs>
          <w:tab w:val="left" w:pos="502"/>
          <w:tab w:val="left" w:pos="567"/>
        </w:tabs>
        <w:autoSpaceDE w:val="0"/>
        <w:autoSpaceDN w:val="0"/>
        <w:adjustRightInd w:val="0"/>
        <w:ind w:left="142" w:leftChars="0" w:firstLine="0" w:firstLineChars="0"/>
        <w:outlineLvl w:val="1"/>
        <w:rPr>
          <w:rFonts w:ascii="仿宋" w:hAnsi="仿宋" w:eastAsia="仿宋" w:cs="宋体"/>
          <w:b/>
          <w:bCs/>
          <w:color w:val="auto"/>
          <w:sz w:val="24"/>
        </w:rPr>
      </w:pPr>
      <w:bookmarkStart w:id="326" w:name="_Toc149035973"/>
      <w:bookmarkStart w:id="327" w:name="_Toc16110"/>
      <w:bookmarkStart w:id="328" w:name="_Toc4818"/>
      <w:r>
        <w:rPr>
          <w:rFonts w:hint="eastAsia" w:ascii="仿宋" w:hAnsi="仿宋" w:eastAsia="仿宋" w:cs="宋体"/>
          <w:b/>
          <w:bCs/>
          <w:color w:val="auto"/>
          <w:sz w:val="24"/>
        </w:rPr>
        <w:t>信用信息查询结果</w:t>
      </w:r>
      <w:bookmarkEnd w:id="326"/>
      <w:bookmarkEnd w:id="327"/>
      <w:bookmarkEnd w:id="328"/>
    </w:p>
    <w:p w14:paraId="71512650">
      <w:pPr>
        <w:spacing w:line="480" w:lineRule="auto"/>
        <w:rPr>
          <w:rFonts w:ascii="仿宋" w:hAnsi="仿宋" w:eastAsia="仿宋" w:cs="宋体"/>
          <w:color w:val="auto"/>
          <w:kern w:val="0"/>
          <w:sz w:val="24"/>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5"/>
      </w:tblGrid>
      <w:tr w14:paraId="446C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9235" w:type="dxa"/>
          </w:tcPr>
          <w:p w14:paraId="7D1E2A96">
            <w:pPr>
              <w:adjustRightInd w:val="0"/>
              <w:snapToGrid w:val="0"/>
              <w:spacing w:line="400" w:lineRule="atLeast"/>
              <w:rPr>
                <w:rFonts w:ascii="仿宋" w:hAnsi="仿宋" w:eastAsia="仿宋"/>
                <w:color w:val="auto"/>
                <w:sz w:val="24"/>
              </w:rPr>
            </w:pPr>
          </w:p>
        </w:tc>
      </w:tr>
    </w:tbl>
    <w:p w14:paraId="16FA5EBA">
      <w:pPr>
        <w:spacing w:line="360" w:lineRule="auto"/>
        <w:ind w:firstLine="420" w:firstLineChars="200"/>
        <w:rPr>
          <w:rFonts w:ascii="仿宋" w:hAnsi="仿宋" w:eastAsia="仿宋" w:cs="宋体"/>
          <w:color w:val="auto"/>
          <w:kern w:val="0"/>
          <w:szCs w:val="21"/>
        </w:rPr>
      </w:pPr>
      <w:r>
        <w:rPr>
          <w:rFonts w:hint="eastAsia" w:ascii="仿宋" w:hAnsi="仿宋" w:eastAsia="仿宋" w:cs="宋体"/>
          <w:color w:val="auto"/>
          <w:kern w:val="0"/>
          <w:szCs w:val="21"/>
        </w:rPr>
        <w:t>备注：</w:t>
      </w:r>
    </w:p>
    <w:p w14:paraId="5F9700BE">
      <w:pPr>
        <w:spacing w:line="360" w:lineRule="auto"/>
        <w:ind w:firstLine="420" w:firstLineChars="200"/>
        <w:rPr>
          <w:rFonts w:ascii="仿宋" w:hAnsi="仿宋" w:eastAsia="仿宋" w:cs="宋体"/>
          <w:color w:val="auto"/>
          <w:kern w:val="0"/>
          <w:szCs w:val="21"/>
        </w:rPr>
      </w:pPr>
      <w:r>
        <w:rPr>
          <w:rFonts w:hint="eastAsia" w:ascii="仿宋" w:hAnsi="仿宋" w:eastAsia="仿宋" w:cs="宋体"/>
          <w:color w:val="auto"/>
          <w:kern w:val="0"/>
          <w:szCs w:val="21"/>
        </w:rPr>
        <w:t>1.</w:t>
      </w:r>
      <w:r>
        <w:rPr>
          <w:rFonts w:hint="eastAsia" w:ascii="仿宋" w:hAnsi="仿宋" w:eastAsia="仿宋" w:cs="宋体"/>
          <w:color w:val="auto"/>
          <w:kern w:val="0"/>
          <w:szCs w:val="21"/>
          <w:lang w:eastAsia="zh-CN"/>
        </w:rPr>
        <w:t>供应商</w:t>
      </w:r>
      <w:r>
        <w:rPr>
          <w:rFonts w:hint="eastAsia" w:ascii="仿宋" w:hAnsi="仿宋" w:eastAsia="仿宋" w:cs="宋体"/>
          <w:color w:val="auto"/>
          <w:kern w:val="0"/>
          <w:szCs w:val="21"/>
        </w:rPr>
        <w:t>未被列入“信用中国”网站(www.creditchina.gov.cn)失信被执行人、重大税收违法失信主体名单和“中国政府采购”网站（www.ccgp.gov.cn）政府采购严重违法失信行为记录名单，</w:t>
      </w:r>
      <w:r>
        <w:rPr>
          <w:rFonts w:hint="eastAsia" w:ascii="仿宋" w:hAnsi="仿宋" w:eastAsia="仿宋" w:cs="宋体"/>
          <w:color w:val="auto"/>
          <w:kern w:val="0"/>
          <w:szCs w:val="21"/>
          <w:lang w:eastAsia="zh-CN"/>
        </w:rPr>
        <w:t>供应商</w:t>
      </w:r>
      <w:r>
        <w:rPr>
          <w:rFonts w:hint="eastAsia" w:ascii="仿宋" w:hAnsi="仿宋" w:eastAsia="仿宋" w:cs="宋体"/>
          <w:color w:val="auto"/>
          <w:kern w:val="0"/>
          <w:szCs w:val="21"/>
        </w:rPr>
        <w:t>将查询结果“截图”附在本表中（采购代理机构将在开标之日查询相关信息）。</w:t>
      </w:r>
    </w:p>
    <w:p w14:paraId="5B9C9C67">
      <w:pPr>
        <w:spacing w:line="360" w:lineRule="auto"/>
        <w:ind w:firstLine="420" w:firstLineChars="200"/>
        <w:rPr>
          <w:rFonts w:ascii="仿宋" w:hAnsi="仿宋" w:eastAsia="仿宋" w:cs="宋体"/>
          <w:color w:val="auto"/>
          <w:kern w:val="0"/>
          <w:szCs w:val="21"/>
        </w:rPr>
      </w:pPr>
      <w:r>
        <w:rPr>
          <w:rFonts w:hint="eastAsia" w:ascii="仿宋" w:hAnsi="仿宋" w:eastAsia="仿宋" w:cs="宋体"/>
          <w:color w:val="auto"/>
          <w:kern w:val="0"/>
          <w:szCs w:val="21"/>
        </w:rPr>
        <w:t>2.联合体投标的，应当对所有联合体成员进行查询。</w:t>
      </w:r>
    </w:p>
    <w:p w14:paraId="318E7C82">
      <w:pPr>
        <w:ind w:firstLine="444" w:firstLineChars="200"/>
        <w:rPr>
          <w:rFonts w:ascii="仿宋" w:hAnsi="仿宋" w:eastAsia="仿宋" w:cs="宋体"/>
          <w:color w:val="auto"/>
          <w:spacing w:val="6"/>
          <w:szCs w:val="21"/>
        </w:rPr>
      </w:pPr>
    </w:p>
    <w:p w14:paraId="1EE514FB">
      <w:pPr>
        <w:rPr>
          <w:rFonts w:ascii="仿宋" w:hAnsi="仿宋" w:eastAsia="仿宋"/>
          <w:color w:val="auto"/>
          <w:shd w:val="clear" w:color="auto" w:fill="FFFFFF"/>
        </w:rPr>
      </w:pPr>
    </w:p>
    <w:p w14:paraId="60F48C71">
      <w:pPr>
        <w:rPr>
          <w:rFonts w:ascii="仿宋" w:hAnsi="仿宋" w:eastAsia="仿宋"/>
          <w:color w:val="auto"/>
        </w:rPr>
      </w:pPr>
      <w:r>
        <w:rPr>
          <w:rFonts w:ascii="仿宋" w:hAnsi="仿宋" w:eastAsia="仿宋"/>
          <w:color w:val="auto"/>
        </w:rPr>
        <w:br w:type="page"/>
      </w:r>
    </w:p>
    <w:p w14:paraId="5E405CAF">
      <w:pPr>
        <w:pageBreakBefore w:val="0"/>
        <w:tabs>
          <w:tab w:val="left" w:pos="502"/>
          <w:tab w:val="left" w:pos="567"/>
        </w:tabs>
        <w:kinsoku/>
        <w:overflowPunct/>
        <w:topLinePunct w:val="0"/>
        <w:autoSpaceDE w:val="0"/>
        <w:autoSpaceDN w:val="0"/>
        <w:bidi w:val="0"/>
        <w:adjustRightInd w:val="0"/>
        <w:spacing w:line="360" w:lineRule="auto"/>
        <w:ind w:left="0" w:leftChars="0" w:right="0" w:rightChars="0"/>
        <w:outlineLvl w:val="1"/>
        <w:rPr>
          <w:rFonts w:hint="eastAsia" w:ascii="仿宋" w:hAnsi="仿宋" w:eastAsia="仿宋" w:cs="仿宋"/>
          <w:b/>
          <w:bCs/>
          <w:color w:val="auto"/>
          <w:sz w:val="24"/>
          <w:lang w:val="en-US" w:eastAsia="zh-CN"/>
        </w:rPr>
      </w:pPr>
      <w:bookmarkStart w:id="329" w:name="_Toc13301"/>
      <w:r>
        <w:rPr>
          <w:rFonts w:hint="eastAsia" w:ascii="仿宋" w:hAnsi="仿宋" w:eastAsia="仿宋" w:cs="仿宋"/>
          <w:b/>
          <w:bCs/>
          <w:color w:val="auto"/>
          <w:sz w:val="24"/>
          <w:lang w:val="en-US" w:eastAsia="zh-CN"/>
        </w:rPr>
        <w:t>附件：</w:t>
      </w:r>
      <w:bookmarkEnd w:id="329"/>
    </w:p>
    <w:p w14:paraId="4C3EA222">
      <w:pPr>
        <w:pageBreakBefore w:val="0"/>
        <w:kinsoku/>
        <w:overflowPunct/>
        <w:topLinePunct w:val="0"/>
        <w:bidi w:val="0"/>
        <w:spacing w:line="360" w:lineRule="auto"/>
        <w:ind w:left="0" w:leftChars="0" w:right="0" w:rightChars="0" w:firstLine="444" w:firstLineChars="200"/>
        <w:rPr>
          <w:rFonts w:hint="eastAsia" w:ascii="仿宋" w:hAnsi="仿宋" w:eastAsia="仿宋" w:cs="仿宋"/>
          <w:color w:val="auto"/>
          <w:spacing w:val="6"/>
          <w:szCs w:val="21"/>
        </w:rPr>
      </w:pPr>
    </w:p>
    <w:p w14:paraId="0E8C6844">
      <w:pPr>
        <w:pageBreakBefore w:val="0"/>
        <w:kinsoku/>
        <w:overflowPunct/>
        <w:topLinePunct w:val="0"/>
        <w:bidi w:val="0"/>
        <w:spacing w:line="360" w:lineRule="auto"/>
        <w:ind w:left="0" w:leftChars="0" w:right="0" w:rightChars="0"/>
        <w:jc w:val="center"/>
        <w:rPr>
          <w:rFonts w:hint="eastAsia" w:ascii="仿宋" w:hAnsi="仿宋" w:eastAsia="仿宋" w:cs="仿宋"/>
          <w:b/>
          <w:bCs/>
          <w:color w:val="auto"/>
          <w:sz w:val="24"/>
          <w:szCs w:val="32"/>
          <w:shd w:val="clear" w:color="auto" w:fill="FFFFFF"/>
          <w:lang w:val="en-US"/>
        </w:rPr>
      </w:pPr>
      <w:r>
        <w:rPr>
          <w:rFonts w:hint="eastAsia" w:ascii="仿宋" w:hAnsi="仿宋" w:eastAsia="仿宋" w:cs="仿宋"/>
          <w:b/>
          <w:bCs/>
          <w:color w:val="auto"/>
          <w:sz w:val="24"/>
          <w:szCs w:val="32"/>
          <w:shd w:val="clear" w:color="auto" w:fill="FFFFFF"/>
          <w:lang w:val="en-US" w:eastAsia="zh-CN"/>
        </w:rPr>
        <w:t>实质性要求承诺函</w:t>
      </w:r>
    </w:p>
    <w:p w14:paraId="256C00AF">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 xml:space="preserve"> </w:t>
      </w:r>
    </w:p>
    <w:p w14:paraId="25110664">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 xml:space="preserve">致(采购人或采购代理机构): </w:t>
      </w:r>
    </w:p>
    <w:p w14:paraId="53E93C3F">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单位名称(自然人姓名):</w:t>
      </w:r>
    </w:p>
    <w:p w14:paraId="5B7E0F94">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统一社会信用代码(身份证号码):</w:t>
      </w:r>
    </w:p>
    <w:p w14:paraId="67C16F29">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法定代表人(负责人):      联系地址和电话：</w:t>
      </w:r>
    </w:p>
    <w:p w14:paraId="37EB17E9">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 xml:space="preserve"> </w:t>
      </w:r>
    </w:p>
    <w:p w14:paraId="3A3DC9D7">
      <w:pPr>
        <w:pageBreakBefore w:val="0"/>
        <w:kinsoku/>
        <w:overflowPunct/>
        <w:topLinePunct w:val="0"/>
        <w:bidi w:val="0"/>
        <w:spacing w:line="360" w:lineRule="auto"/>
        <w:ind w:left="0" w:leftChars="0" w:right="0" w:rightChars="0" w:firstLine="420" w:firstLineChars="20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我单位(本人)自愿参加本次采购活动，严格遵守《中华人民共和国政府采购法》及相关法律法规，坚守公开、公平、公正和诚实信用等原则，依法诚信经营，并郑重承诺：</w:t>
      </w:r>
    </w:p>
    <w:p w14:paraId="7C93E161">
      <w:pPr>
        <w:pageBreakBefore w:val="0"/>
        <w:kinsoku/>
        <w:overflowPunct/>
        <w:topLinePunct w:val="0"/>
        <w:bidi w:val="0"/>
        <w:spacing w:line="360" w:lineRule="auto"/>
        <w:ind w:left="0" w:leftChars="0" w:right="0" w:rightChars="0" w:firstLine="420" w:firstLineChars="200"/>
        <w:rPr>
          <w:rFonts w:hint="eastAsia" w:ascii="仿宋" w:hAnsi="仿宋" w:eastAsia="仿宋" w:cs="仿宋"/>
          <w:color w:val="auto"/>
          <w:shd w:val="clear" w:color="auto" w:fill="FFFFFF"/>
          <w:lang w:val="en-US" w:eastAsia="zh-CN"/>
        </w:rPr>
      </w:pPr>
      <w:r>
        <w:rPr>
          <w:rFonts w:hint="eastAsia" w:ascii="仿宋" w:hAnsi="仿宋" w:eastAsia="仿宋" w:cs="仿宋"/>
          <w:color w:val="auto"/>
          <w:shd w:val="clear" w:color="auto" w:fill="FFFFFF"/>
          <w:lang w:val="en-US" w:eastAsia="zh-CN"/>
        </w:rPr>
        <w:t>我方完全理解并接受本项目采购文件中的全部实质性要求（★号要求），并承诺完全满足采购文件中的全部实质性要求（★号要求）。</w:t>
      </w:r>
    </w:p>
    <w:p w14:paraId="762F9E98">
      <w:pPr>
        <w:pageBreakBefore w:val="0"/>
        <w:kinsoku/>
        <w:overflowPunct/>
        <w:topLinePunct w:val="0"/>
        <w:bidi w:val="0"/>
        <w:spacing w:line="360" w:lineRule="auto"/>
        <w:ind w:left="0" w:leftChars="0" w:right="0" w:rightChars="0" w:firstLine="420" w:firstLineChars="200"/>
        <w:rPr>
          <w:rFonts w:hint="eastAsia" w:ascii="仿宋" w:hAnsi="仿宋" w:eastAsia="仿宋" w:cs="仿宋"/>
          <w:color w:val="auto"/>
          <w:shd w:val="clear" w:color="auto" w:fill="FFFFFF"/>
          <w:lang w:val="en-US" w:eastAsia="zh-CN"/>
        </w:rPr>
      </w:pPr>
      <w:r>
        <w:rPr>
          <w:rFonts w:hint="eastAsia" w:ascii="仿宋" w:hAnsi="仿宋" w:eastAsia="仿宋" w:cs="仿宋"/>
          <w:color w:val="auto"/>
          <w:shd w:val="clear" w:color="auto" w:fill="FFFFFF"/>
          <w:lang w:val="en-US" w:eastAsia="zh-CN"/>
        </w:rPr>
        <w:t>其内容具体为：</w:t>
      </w:r>
    </w:p>
    <w:p w14:paraId="6EE162F6">
      <w:pPr>
        <w:pageBreakBefore w:val="0"/>
        <w:kinsoku/>
        <w:overflowPunct/>
        <w:topLinePunct w:val="0"/>
        <w:bidi w:val="0"/>
        <w:spacing w:line="360" w:lineRule="auto"/>
        <w:ind w:left="0" w:leftChars="0" w:right="0" w:rightChars="0" w:firstLine="422" w:firstLineChars="200"/>
        <w:rPr>
          <w:rFonts w:hint="eastAsia" w:ascii="仿宋" w:hAnsi="仿宋" w:eastAsia="仿宋" w:cs="仿宋"/>
          <w:b/>
          <w:bCs/>
          <w:color w:val="auto"/>
          <w:highlight w:val="yellow"/>
          <w:u w:val="single"/>
          <w:shd w:val="clear" w:color="auto" w:fill="FFFFFF"/>
          <w:lang w:val="en-US" w:eastAsia="zh-CN"/>
        </w:rPr>
      </w:pPr>
      <w:r>
        <w:rPr>
          <w:rFonts w:hint="eastAsia" w:ascii="仿宋" w:hAnsi="仿宋" w:eastAsia="仿宋" w:cs="仿宋"/>
          <w:b/>
          <w:bCs/>
          <w:color w:val="auto"/>
          <w:highlight w:val="yellow"/>
          <w:u w:val="single"/>
          <w:shd w:val="clear" w:color="auto" w:fill="FFFFFF"/>
          <w:lang w:val="en-US" w:eastAsia="zh-CN"/>
        </w:rPr>
        <w:t>（供应商根据磋商文件要求自行填写）</w:t>
      </w:r>
    </w:p>
    <w:p w14:paraId="56A8F402">
      <w:pPr>
        <w:pageBreakBefore w:val="0"/>
        <w:kinsoku/>
        <w:overflowPunct/>
        <w:topLinePunct w:val="0"/>
        <w:bidi w:val="0"/>
        <w:spacing w:line="360" w:lineRule="auto"/>
        <w:ind w:left="0" w:leftChars="0" w:right="0" w:rightChars="0" w:firstLine="420" w:firstLineChars="200"/>
        <w:rPr>
          <w:rFonts w:hint="eastAsia" w:ascii="仿宋" w:hAnsi="仿宋" w:eastAsia="仿宋" w:cs="仿宋"/>
          <w:color w:val="auto"/>
          <w:shd w:val="clear" w:color="auto" w:fill="FFFFFF"/>
        </w:rPr>
      </w:pPr>
    </w:p>
    <w:p w14:paraId="3F6DDFFC">
      <w:pPr>
        <w:pageBreakBefore w:val="0"/>
        <w:kinsoku/>
        <w:overflowPunct/>
        <w:topLinePunct w:val="0"/>
        <w:bidi w:val="0"/>
        <w:spacing w:line="360" w:lineRule="auto"/>
        <w:ind w:left="0" w:leftChars="0" w:right="0" w:rightChars="0" w:firstLine="420" w:firstLineChars="20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我单位(本人)对本承诺函及所承诺事项的真实性、合法性及有效性负责，如有虚假，愿依法承担相应责任。</w:t>
      </w:r>
    </w:p>
    <w:p w14:paraId="3CA9EE15">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 xml:space="preserve"> </w:t>
      </w:r>
    </w:p>
    <w:p w14:paraId="3A1D634F">
      <w:pPr>
        <w:pageBreakBefore w:val="0"/>
        <w:kinsoku/>
        <w:overflowPunct/>
        <w:topLinePunct w:val="0"/>
        <w:bidi w:val="0"/>
        <w:spacing w:line="360" w:lineRule="auto"/>
        <w:ind w:left="0" w:leftChars="0" w:right="0" w:rightChars="0"/>
        <w:jc w:val="right"/>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 xml:space="preserve"> </w:t>
      </w:r>
    </w:p>
    <w:p w14:paraId="74E4B376">
      <w:pPr>
        <w:pageBreakBefore w:val="0"/>
        <w:kinsoku/>
        <w:overflowPunct/>
        <w:topLinePunct w:val="0"/>
        <w:bidi w:val="0"/>
        <w:spacing w:line="360" w:lineRule="auto"/>
        <w:ind w:left="0" w:leftChars="0" w:right="0" w:rightChars="0"/>
        <w:jc w:val="right"/>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供应商名称(单位公章):</w:t>
      </w:r>
    </w:p>
    <w:p w14:paraId="4D9CA92B">
      <w:pPr>
        <w:pageBreakBefore w:val="0"/>
        <w:kinsoku/>
        <w:overflowPunct/>
        <w:topLinePunct w:val="0"/>
        <w:bidi w:val="0"/>
        <w:spacing w:line="360" w:lineRule="auto"/>
        <w:ind w:left="0" w:leftChars="0" w:right="0" w:rightChars="0"/>
        <w:jc w:val="right"/>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rPr>
        <w:t>年   月  日</w:t>
      </w:r>
    </w:p>
    <w:p w14:paraId="5E00E8CA">
      <w:pPr>
        <w:pageBreakBefore w:val="0"/>
        <w:kinsoku/>
        <w:overflowPunct/>
        <w:topLinePunct w:val="0"/>
        <w:bidi w:val="0"/>
        <w:spacing w:line="360" w:lineRule="auto"/>
        <w:ind w:left="0" w:leftChars="0" w:right="0" w:rightChars="0"/>
        <w:rPr>
          <w:rFonts w:hint="eastAsia" w:ascii="仿宋" w:hAnsi="仿宋" w:eastAsia="仿宋" w:cs="仿宋"/>
          <w:color w:val="auto"/>
          <w:shd w:val="clear" w:color="auto" w:fill="FFFFFF"/>
        </w:rPr>
      </w:pPr>
    </w:p>
    <w:p w14:paraId="3287BDA0">
      <w:pPr>
        <w:pageBreakBefore w:val="0"/>
        <w:kinsoku/>
        <w:overflowPunct/>
        <w:topLinePunct w:val="0"/>
        <w:bidi w:val="0"/>
        <w:spacing w:line="360" w:lineRule="auto"/>
        <w:ind w:left="0" w:leftChars="0" w:right="0" w:rightChars="0"/>
        <w:rPr>
          <w:rFonts w:hint="eastAsia" w:ascii="仿宋" w:hAnsi="仿宋" w:eastAsia="仿宋" w:cs="仿宋"/>
          <w:color w:val="auto"/>
        </w:rPr>
      </w:pPr>
    </w:p>
    <w:p w14:paraId="2CC5D866">
      <w:pPr>
        <w:rPr>
          <w:rFonts w:ascii="仿宋" w:hAnsi="仿宋" w:eastAsia="仿宋"/>
          <w:color w:val="auto"/>
        </w:rPr>
      </w:pPr>
    </w:p>
    <w:sectPr>
      <w:footerReference r:id="rId6" w:type="default"/>
      <w:type w:val="continuous"/>
      <w:pgSz w:w="11906" w:h="16838"/>
      <w:pgMar w:top="1417" w:right="1417" w:bottom="1417" w:left="1417" w:header="851" w:footer="85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91F83">
    <w:pPr>
      <w:pStyle w:val="12"/>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F41C4">
    <w:pPr>
      <w:pStyle w:val="12"/>
      <w:jc w:val="center"/>
    </w:pPr>
    <w:r>
      <w:fldChar w:fldCharType="begin"/>
    </w:r>
    <w:r>
      <w:instrText xml:space="preserve"> PAGE   \* MERGEFORMAT </w:instrText>
    </w:r>
    <w:r>
      <w:fldChar w:fldCharType="separate"/>
    </w:r>
    <w:r>
      <w:rPr>
        <w:lang w:val="zh-CN"/>
      </w:rPr>
      <w:t>41</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1326E">
    <w:pPr>
      <w:pStyle w:val="12"/>
      <w:jc w:val="center"/>
    </w:pPr>
    <w:r>
      <w:rPr>
        <w:lang w:val="zh-CN"/>
      </w:rPr>
      <w:fldChar w:fldCharType="begin"/>
    </w:r>
    <w:r>
      <w:rPr>
        <w:lang w:val="zh-CN"/>
      </w:rPr>
      <w:instrText xml:space="preserve"> PAGE   \* MERGEFORMAT </w:instrText>
    </w:r>
    <w:r>
      <w:rPr>
        <w:lang w:val="zh-CN"/>
      </w:rPr>
      <w:fldChar w:fldCharType="separate"/>
    </w:r>
    <w:r>
      <w:rPr>
        <w:lang w:val="zh-CN"/>
      </w:rPr>
      <w:t>49</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D3D7">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4B47CE"/>
    <w:multiLevelType w:val="singleLevel"/>
    <w:tmpl w:val="C34B47CE"/>
    <w:lvl w:ilvl="0" w:tentative="0">
      <w:start w:val="16"/>
      <w:numFmt w:val="decimal"/>
      <w:suff w:val="space"/>
      <w:lvlText w:val="%1."/>
      <w:lvlJc w:val="left"/>
    </w:lvl>
  </w:abstractNum>
  <w:abstractNum w:abstractNumId="1">
    <w:nsid w:val="00000001"/>
    <w:multiLevelType w:val="multilevel"/>
    <w:tmpl w:val="00000001"/>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2"/>
    <w:multiLevelType w:val="multilevel"/>
    <w:tmpl w:val="00000002"/>
    <w:lvl w:ilvl="0" w:tentative="0">
      <w:start w:val="8"/>
      <w:numFmt w:val="decimal"/>
      <w:lvlText w:val="%1"/>
      <w:lvlJc w:val="left"/>
      <w:pPr>
        <w:tabs>
          <w:tab w:val="left" w:pos="360"/>
        </w:tabs>
        <w:ind w:left="360" w:hanging="360"/>
      </w:pPr>
      <w:rPr>
        <w:rFonts w:hint="default"/>
        <w:b/>
      </w:rPr>
    </w:lvl>
    <w:lvl w:ilvl="1" w:tentative="0">
      <w:start w:val="1"/>
      <w:numFmt w:val="decimal"/>
      <w:lvlText w:val="%1.%2"/>
      <w:lvlJc w:val="left"/>
      <w:pPr>
        <w:tabs>
          <w:tab w:val="left" w:pos="360"/>
        </w:tabs>
        <w:ind w:left="360" w:hanging="360"/>
      </w:pPr>
      <w:rPr>
        <w:rFonts w:hint="default"/>
        <w:b w:val="0"/>
      </w:rPr>
    </w:lvl>
    <w:lvl w:ilvl="2" w:tentative="0">
      <w:start w:val="1"/>
      <w:numFmt w:val="decimal"/>
      <w:lvlText w:val="%1.%2.%3"/>
      <w:lvlJc w:val="left"/>
      <w:pPr>
        <w:tabs>
          <w:tab w:val="left" w:pos="720"/>
        </w:tabs>
        <w:ind w:left="720" w:hanging="720"/>
      </w:pPr>
      <w:rPr>
        <w:rFonts w:hint="default"/>
        <w:b/>
      </w:rPr>
    </w:lvl>
    <w:lvl w:ilvl="3" w:tentative="0">
      <w:start w:val="1"/>
      <w:numFmt w:val="decimal"/>
      <w:lvlText w:val="%1.%2.%3.%4"/>
      <w:lvlJc w:val="left"/>
      <w:pPr>
        <w:tabs>
          <w:tab w:val="left" w:pos="1080"/>
        </w:tabs>
        <w:ind w:left="1080" w:hanging="1080"/>
      </w:pPr>
      <w:rPr>
        <w:rFonts w:hint="default"/>
        <w:b/>
      </w:rPr>
    </w:lvl>
    <w:lvl w:ilvl="4" w:tentative="0">
      <w:start w:val="1"/>
      <w:numFmt w:val="decimal"/>
      <w:lvlText w:val="%1.%2.%3.%4.%5"/>
      <w:lvlJc w:val="left"/>
      <w:pPr>
        <w:tabs>
          <w:tab w:val="left" w:pos="1080"/>
        </w:tabs>
        <w:ind w:left="1080" w:hanging="1080"/>
      </w:pPr>
      <w:rPr>
        <w:rFonts w:hint="default"/>
        <w:b/>
      </w:rPr>
    </w:lvl>
    <w:lvl w:ilvl="5" w:tentative="0">
      <w:start w:val="1"/>
      <w:numFmt w:val="decimal"/>
      <w:lvlText w:val="%1.%2.%3.%4.%5.%6"/>
      <w:lvlJc w:val="left"/>
      <w:pPr>
        <w:tabs>
          <w:tab w:val="left" w:pos="1440"/>
        </w:tabs>
        <w:ind w:left="1440" w:hanging="1440"/>
      </w:pPr>
      <w:rPr>
        <w:rFonts w:hint="default"/>
        <w:b/>
      </w:rPr>
    </w:lvl>
    <w:lvl w:ilvl="6" w:tentative="0">
      <w:start w:val="1"/>
      <w:numFmt w:val="decimal"/>
      <w:lvlText w:val="%1.%2.%3.%4.%5.%6.%7"/>
      <w:lvlJc w:val="left"/>
      <w:pPr>
        <w:tabs>
          <w:tab w:val="left" w:pos="1440"/>
        </w:tabs>
        <w:ind w:left="1440" w:hanging="1440"/>
      </w:pPr>
      <w:rPr>
        <w:rFonts w:hint="default"/>
        <w:b/>
      </w:rPr>
    </w:lvl>
    <w:lvl w:ilvl="7" w:tentative="0">
      <w:start w:val="1"/>
      <w:numFmt w:val="decimal"/>
      <w:lvlText w:val="%1.%2.%3.%4.%5.%6.%7.%8"/>
      <w:lvlJc w:val="left"/>
      <w:pPr>
        <w:tabs>
          <w:tab w:val="left" w:pos="1800"/>
        </w:tabs>
        <w:ind w:left="1800" w:hanging="1800"/>
      </w:pPr>
      <w:rPr>
        <w:rFonts w:hint="default"/>
        <w:b/>
      </w:rPr>
    </w:lvl>
    <w:lvl w:ilvl="8" w:tentative="0">
      <w:start w:val="1"/>
      <w:numFmt w:val="decimal"/>
      <w:lvlText w:val="%1.%2.%3.%4.%5.%6.%7.%8.%9"/>
      <w:lvlJc w:val="left"/>
      <w:pPr>
        <w:tabs>
          <w:tab w:val="left" w:pos="1800"/>
        </w:tabs>
        <w:ind w:left="1800" w:hanging="1800"/>
      </w:pPr>
      <w:rPr>
        <w:rFonts w:hint="default"/>
        <w:b/>
      </w:rPr>
    </w:lvl>
  </w:abstractNum>
  <w:abstractNum w:abstractNumId="3">
    <w:nsid w:val="00000003"/>
    <w:multiLevelType w:val="multilevel"/>
    <w:tmpl w:val="00000003"/>
    <w:lvl w:ilvl="0" w:tentative="0">
      <w:start w:val="10"/>
      <w:numFmt w:val="decimal"/>
      <w:lvlText w:val="%1"/>
      <w:lvlJc w:val="left"/>
      <w:pPr>
        <w:tabs>
          <w:tab w:val="left" w:pos="360"/>
        </w:tabs>
        <w:ind w:left="360" w:hanging="360"/>
      </w:pPr>
      <w:rPr>
        <w:rFonts w:hint="default"/>
      </w:rPr>
    </w:lvl>
    <w:lvl w:ilvl="1" w:tentative="0">
      <w:start w:val="1"/>
      <w:numFmt w:val="decimal"/>
      <w:lvlText w:val="%1.%2"/>
      <w:lvlJc w:val="left"/>
      <w:pPr>
        <w:tabs>
          <w:tab w:val="left" w:pos="2346"/>
        </w:tabs>
        <w:ind w:left="2346"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0000004"/>
    <w:multiLevelType w:val="multilevel"/>
    <w:tmpl w:val="00000004"/>
    <w:lvl w:ilvl="0" w:tentative="0">
      <w:start w:val="15"/>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5">
    <w:nsid w:val="00000005"/>
    <w:multiLevelType w:val="multilevel"/>
    <w:tmpl w:val="00000005"/>
    <w:lvl w:ilvl="0" w:tentative="0">
      <w:start w:val="1"/>
      <w:numFmt w:val="chineseCountingThousand"/>
      <w:lvlText w:val="%1、"/>
      <w:lvlJc w:val="left"/>
      <w:pPr>
        <w:tabs>
          <w:tab w:val="left" w:pos="425"/>
        </w:tabs>
        <w:ind w:left="425" w:firstLine="0"/>
      </w:pPr>
      <w:rPr>
        <w:rFonts w:hint="default"/>
      </w:rPr>
    </w:lvl>
    <w:lvl w:ilvl="1" w:tentative="0">
      <w:start w:val="1"/>
      <w:numFmt w:val="japaneseCounting"/>
      <w:lvlText w:val="%2、"/>
      <w:lvlJc w:val="left"/>
      <w:pPr>
        <w:tabs>
          <w:tab w:val="left" w:pos="840"/>
        </w:tabs>
        <w:ind w:left="840" w:hanging="420"/>
      </w:pPr>
      <w:rPr>
        <w:rFonts w:hint="default"/>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040"/>
        </w:tabs>
        <w:ind w:left="2040" w:hanging="360"/>
      </w:pPr>
      <w:rPr>
        <w:rFonts w:hint="default"/>
      </w:rPr>
    </w:lvl>
    <w:lvl w:ilvl="5" w:tentative="0">
      <w:start w:val="1"/>
      <w:numFmt w:val="lowerLetter"/>
      <w:lvlText w:val="%6）"/>
      <w:lvlJc w:val="left"/>
      <w:pPr>
        <w:tabs>
          <w:tab w:val="left" w:pos="2460"/>
        </w:tabs>
        <w:ind w:left="2460" w:hanging="360"/>
      </w:pPr>
      <w:rPr>
        <w:rFonts w:hint="default" w:ascii="宋体" w:hAnsi="宋体"/>
      </w:r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6"/>
    <w:multiLevelType w:val="multilevel"/>
    <w:tmpl w:val="00000006"/>
    <w:lvl w:ilvl="0" w:tentative="0">
      <w:start w:val="1"/>
      <w:numFmt w:val="decimal"/>
      <w:lvlText w:val="%1."/>
      <w:lvlJc w:val="left"/>
      <w:pPr>
        <w:tabs>
          <w:tab w:val="left" w:pos="990"/>
        </w:tabs>
        <w:ind w:left="990" w:hanging="360"/>
      </w:pPr>
      <w:rPr>
        <w:rFonts w:hint="default"/>
      </w:r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abstractNum w:abstractNumId="7">
    <w:nsid w:val="00000007"/>
    <w:multiLevelType w:val="multilevel"/>
    <w:tmpl w:val="00000007"/>
    <w:lvl w:ilvl="0" w:tentative="0">
      <w:start w:val="19"/>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8">
    <w:nsid w:val="00000008"/>
    <w:multiLevelType w:val="multilevel"/>
    <w:tmpl w:val="00000008"/>
    <w:lvl w:ilvl="0" w:tentative="0">
      <w:start w:val="14"/>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9">
    <w:nsid w:val="00000009"/>
    <w:multiLevelType w:val="multilevel"/>
    <w:tmpl w:val="00000009"/>
    <w:lvl w:ilvl="0" w:tentative="0">
      <w:start w:val="1"/>
      <w:numFmt w:val="decimal"/>
      <w:lvlText w:val="%1、"/>
      <w:lvlJc w:val="left"/>
      <w:pPr>
        <w:tabs>
          <w:tab w:val="left" w:pos="540"/>
        </w:tabs>
        <w:ind w:left="540" w:hanging="360"/>
      </w:pPr>
      <w:rPr>
        <w:rFonts w:hint="default"/>
        <w:b/>
      </w:rPr>
    </w:lvl>
    <w:lvl w:ilvl="1" w:tentative="0">
      <w:start w:val="1"/>
      <w:numFmt w:val="decimal"/>
      <w:lvlText w:val="（%2）"/>
      <w:lvlJc w:val="left"/>
      <w:pPr>
        <w:tabs>
          <w:tab w:val="left" w:pos="1094"/>
        </w:tabs>
        <w:ind w:left="1094" w:hanging="674"/>
      </w:pPr>
      <w:rPr>
        <w:rFonts w:hint="default"/>
      </w:rPr>
    </w:lvl>
    <w:lvl w:ilvl="2" w:tentative="0">
      <w:start w:val="1"/>
      <w:numFmt w:val="lowerLetter"/>
      <w:lvlText w:val="%3）"/>
      <w:lvlJc w:val="left"/>
      <w:pPr>
        <w:tabs>
          <w:tab w:val="left" w:pos="1620"/>
        </w:tabs>
        <w:ind w:left="1620" w:hanging="360"/>
      </w:pPr>
      <w:rPr>
        <w:rFonts w:hint="default"/>
        <w:b w:val="0"/>
      </w:rPr>
    </w:lvl>
    <w:lvl w:ilvl="3" w:tentative="0">
      <w:start w:val="1"/>
      <w:numFmt w:val="decimal"/>
      <w:lvlText w:val="%4）"/>
      <w:lvlJc w:val="left"/>
      <w:pPr>
        <w:tabs>
          <w:tab w:val="left" w:pos="2040"/>
        </w:tabs>
        <w:ind w:left="2040" w:hanging="360"/>
      </w:pPr>
      <w:rPr>
        <w:rFonts w:hint="default"/>
      </w:rPr>
    </w:lvl>
    <w:lvl w:ilvl="4" w:tentative="0">
      <w:start w:val="1"/>
      <w:numFmt w:val="decimal"/>
      <w:lvlText w:val="%5."/>
      <w:lvlJc w:val="left"/>
      <w:pPr>
        <w:tabs>
          <w:tab w:val="left" w:pos="502"/>
        </w:tabs>
        <w:ind w:left="502" w:hanging="360"/>
      </w:pPr>
      <w:rPr>
        <w:rFonts w:hint="default"/>
        <w:b/>
        <w:sz w:val="24"/>
        <w:szCs w:val="24"/>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000000A"/>
    <w:multiLevelType w:val="multilevel"/>
    <w:tmpl w:val="0000000A"/>
    <w:lvl w:ilvl="0" w:tentative="0">
      <w:start w:val="1"/>
      <w:numFmt w:val="japaneseCounting"/>
      <w:lvlText w:val="第%1章"/>
      <w:lvlJc w:val="left"/>
      <w:pPr>
        <w:tabs>
          <w:tab w:val="left" w:pos="3615"/>
        </w:tabs>
        <w:ind w:left="3615" w:hanging="1455"/>
      </w:pPr>
      <w:rPr>
        <w:rFonts w:hint="default"/>
        <w:b/>
      </w:rPr>
    </w:lvl>
    <w:lvl w:ilvl="1" w:tentative="0">
      <w:start w:val="1"/>
      <w:numFmt w:val="decimal"/>
      <w:lvlText w:val="%2、"/>
      <w:lvlJc w:val="left"/>
      <w:pPr>
        <w:tabs>
          <w:tab w:val="left" w:pos="360"/>
        </w:tabs>
        <w:ind w:left="360" w:hanging="360"/>
      </w:pPr>
      <w:rPr>
        <w:rFonts w:hint="default"/>
      </w:rPr>
    </w:lvl>
    <w:lvl w:ilvl="2" w:tentative="0">
      <w:start w:val="1"/>
      <w:numFmt w:val="lowerRoman"/>
      <w:lvlText w:val="%3."/>
      <w:lvlJc w:val="right"/>
      <w:pPr>
        <w:tabs>
          <w:tab w:val="left" w:pos="3420"/>
        </w:tabs>
        <w:ind w:left="3420" w:hanging="420"/>
      </w:pPr>
    </w:lvl>
    <w:lvl w:ilvl="3" w:tentative="0">
      <w:start w:val="1"/>
      <w:numFmt w:val="japaneseCounting"/>
      <w:lvlText w:val="%4、"/>
      <w:lvlJc w:val="left"/>
      <w:pPr>
        <w:tabs>
          <w:tab w:val="left" w:pos="3840"/>
        </w:tabs>
        <w:ind w:left="3840" w:hanging="420"/>
      </w:pPr>
      <w:rPr>
        <w:rFonts w:hint="default"/>
      </w:rPr>
    </w:lvl>
    <w:lvl w:ilvl="4" w:tentative="0">
      <w:start w:val="1"/>
      <w:numFmt w:val="japaneseCounting"/>
      <w:lvlText w:val="（%5）"/>
      <w:lvlJc w:val="left"/>
      <w:pPr>
        <w:tabs>
          <w:tab w:val="left" w:pos="4560"/>
        </w:tabs>
        <w:ind w:left="4560" w:hanging="720"/>
      </w:pPr>
      <w:rPr>
        <w:rFonts w:hint="default"/>
      </w:rPr>
    </w:lvl>
    <w:lvl w:ilvl="5" w:tentative="0">
      <w:start w:val="1"/>
      <w:numFmt w:val="decimal"/>
      <w:lvlText w:val="%6）"/>
      <w:lvlJc w:val="left"/>
      <w:pPr>
        <w:tabs>
          <w:tab w:val="left" w:pos="4605"/>
        </w:tabs>
        <w:ind w:left="4605" w:hanging="345"/>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460"/>
        </w:tabs>
        <w:ind w:left="5460" w:hanging="360"/>
      </w:pPr>
      <w:rPr>
        <w:rFonts w:hint="default"/>
      </w:rPr>
    </w:lvl>
    <w:lvl w:ilvl="8" w:tentative="0">
      <w:start w:val="1"/>
      <w:numFmt w:val="lowerRoman"/>
      <w:lvlText w:val="%9."/>
      <w:lvlJc w:val="right"/>
      <w:pPr>
        <w:tabs>
          <w:tab w:val="left" w:pos="5940"/>
        </w:tabs>
        <w:ind w:left="5940" w:hanging="420"/>
      </w:pPr>
    </w:lvl>
  </w:abstractNum>
  <w:abstractNum w:abstractNumId="11">
    <w:nsid w:val="0000000B"/>
    <w:multiLevelType w:val="multilevel"/>
    <w:tmpl w:val="0000000B"/>
    <w:lvl w:ilvl="0" w:tentative="0">
      <w:start w:val="1"/>
      <w:numFmt w:val="decimal"/>
      <w:lvlText w:val="%1."/>
      <w:lvlJc w:val="left"/>
      <w:pPr>
        <w:tabs>
          <w:tab w:val="left" w:pos="990"/>
        </w:tabs>
        <w:ind w:left="990" w:hanging="360"/>
      </w:pPr>
      <w:rPr>
        <w:rFonts w:hint="default"/>
      </w:r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abstractNum w:abstractNumId="12">
    <w:nsid w:val="0000000C"/>
    <w:multiLevelType w:val="multilevel"/>
    <w:tmpl w:val="0000000C"/>
    <w:lvl w:ilvl="0" w:tentative="0">
      <w:start w:val="21"/>
      <w:numFmt w:val="decimal"/>
      <w:lvlText w:val="%1"/>
      <w:lvlJc w:val="left"/>
      <w:pPr>
        <w:tabs>
          <w:tab w:val="left" w:pos="480"/>
        </w:tabs>
        <w:ind w:left="480" w:hanging="480"/>
      </w:pPr>
      <w:rPr>
        <w:rFonts w:hint="default"/>
      </w:rPr>
    </w:lvl>
    <w:lvl w:ilvl="1" w:tentative="0">
      <w:start w:val="1"/>
      <w:numFmt w:val="decimal"/>
      <w:lvlText w:val="%1.%2"/>
      <w:lvlJc w:val="left"/>
      <w:pPr>
        <w:tabs>
          <w:tab w:val="left" w:pos="480"/>
        </w:tabs>
        <w:ind w:left="480" w:hanging="48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3">
    <w:nsid w:val="0000000D"/>
    <w:multiLevelType w:val="multilevel"/>
    <w:tmpl w:val="0000000D"/>
    <w:lvl w:ilvl="0" w:tentative="0">
      <w:start w:val="12"/>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4">
    <w:nsid w:val="0000000E"/>
    <w:multiLevelType w:val="multilevel"/>
    <w:tmpl w:val="0000000E"/>
    <w:lvl w:ilvl="0" w:tentative="0">
      <w:start w:val="18"/>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5">
    <w:nsid w:val="0000000F"/>
    <w:multiLevelType w:val="multilevel"/>
    <w:tmpl w:val="0000000F"/>
    <w:lvl w:ilvl="0" w:tentative="0">
      <w:start w:val="27"/>
      <w:numFmt w:val="decimal"/>
      <w:lvlText w:val="%1"/>
      <w:lvlJc w:val="left"/>
      <w:pPr>
        <w:ind w:left="360" w:hanging="360"/>
      </w:pPr>
      <w:rPr>
        <w:rFonts w:hint="default"/>
      </w:rPr>
    </w:lvl>
    <w:lvl w:ilvl="1" w:tentative="0">
      <w:start w:val="1"/>
      <w:numFmt w:val="decimal"/>
      <w:isLgl/>
      <w:lvlText w:val="%1.%2"/>
      <w:lvlJc w:val="left"/>
      <w:pPr>
        <w:ind w:left="510" w:hanging="510"/>
      </w:pPr>
      <w:rPr>
        <w:rFonts w:hint="default"/>
      </w:rPr>
    </w:lvl>
    <w:lvl w:ilvl="2" w:tentative="0">
      <w:start w:val="1"/>
      <w:numFmt w:val="decimal"/>
      <w:isLgl/>
      <w:lvlText w:val="%1.%2.%3"/>
      <w:lvlJc w:val="left"/>
      <w:pPr>
        <w:ind w:left="510" w:hanging="510"/>
      </w:pPr>
      <w:rPr>
        <w:rFonts w:hint="default"/>
      </w:rPr>
    </w:lvl>
    <w:lvl w:ilvl="3" w:tentative="0">
      <w:start w:val="1"/>
      <w:numFmt w:val="decimal"/>
      <w:isLgl/>
      <w:lvlText w:val="%1.%2.%3.%4"/>
      <w:lvlJc w:val="left"/>
      <w:pPr>
        <w:ind w:left="510" w:hanging="510"/>
      </w:pPr>
      <w:rPr>
        <w:rFonts w:hint="default"/>
      </w:rPr>
    </w:lvl>
    <w:lvl w:ilvl="4" w:tentative="0">
      <w:start w:val="1"/>
      <w:numFmt w:val="decimal"/>
      <w:isLgl/>
      <w:lvlText w:val="%1.%2.%3.%4.%5"/>
      <w:lvlJc w:val="left"/>
      <w:pPr>
        <w:ind w:left="510" w:hanging="510"/>
      </w:pPr>
      <w:rPr>
        <w:rFonts w:hint="default"/>
      </w:rPr>
    </w:lvl>
    <w:lvl w:ilvl="5" w:tentative="0">
      <w:start w:val="1"/>
      <w:numFmt w:val="decimal"/>
      <w:isLgl/>
      <w:lvlText w:val="%1.%2.%3.%4.%5.%6"/>
      <w:lvlJc w:val="left"/>
      <w:pPr>
        <w:ind w:left="510" w:hanging="510"/>
      </w:pPr>
      <w:rPr>
        <w:rFonts w:hint="default"/>
      </w:rPr>
    </w:lvl>
    <w:lvl w:ilvl="6" w:tentative="0">
      <w:start w:val="1"/>
      <w:numFmt w:val="decimal"/>
      <w:isLgl/>
      <w:lvlText w:val="%1.%2.%3.%4.%5.%6.%7"/>
      <w:lvlJc w:val="left"/>
      <w:pPr>
        <w:ind w:left="510" w:hanging="510"/>
      </w:pPr>
      <w:rPr>
        <w:rFonts w:hint="default"/>
      </w:rPr>
    </w:lvl>
    <w:lvl w:ilvl="7" w:tentative="0">
      <w:start w:val="1"/>
      <w:numFmt w:val="decimal"/>
      <w:isLgl/>
      <w:lvlText w:val="%1.%2.%3.%4.%5.%6.%7.%8"/>
      <w:lvlJc w:val="left"/>
      <w:pPr>
        <w:ind w:left="510" w:hanging="510"/>
      </w:pPr>
      <w:rPr>
        <w:rFonts w:hint="default"/>
      </w:rPr>
    </w:lvl>
    <w:lvl w:ilvl="8" w:tentative="0">
      <w:start w:val="1"/>
      <w:numFmt w:val="decimal"/>
      <w:isLgl/>
      <w:lvlText w:val="%1.%2.%3.%4.%5.%6.%7.%8.%9"/>
      <w:lvlJc w:val="left"/>
      <w:pPr>
        <w:ind w:left="510" w:hanging="510"/>
      </w:pPr>
      <w:rPr>
        <w:rFonts w:hint="default"/>
      </w:rPr>
    </w:lvl>
  </w:abstractNum>
  <w:abstractNum w:abstractNumId="16">
    <w:nsid w:val="00000010"/>
    <w:multiLevelType w:val="multilevel"/>
    <w:tmpl w:val="00000010"/>
    <w:lvl w:ilvl="0" w:tentative="0">
      <w:start w:val="11"/>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7">
    <w:nsid w:val="00000011"/>
    <w:multiLevelType w:val="multilevel"/>
    <w:tmpl w:val="00000011"/>
    <w:lvl w:ilvl="0" w:tentative="0">
      <w:start w:val="1"/>
      <w:numFmt w:val="decimal"/>
      <w:lvlText w:val="%1、"/>
      <w:lvlJc w:val="left"/>
      <w:pPr>
        <w:tabs>
          <w:tab w:val="left" w:pos="1305"/>
        </w:tabs>
        <w:ind w:left="1305" w:hanging="360"/>
      </w:pPr>
      <w:rPr>
        <w:rFonts w:hint="default"/>
      </w:rPr>
    </w:lvl>
    <w:lvl w:ilvl="1" w:tentative="0">
      <w:start w:val="1"/>
      <w:numFmt w:val="japaneseCounting"/>
      <w:lvlText w:val="%2、"/>
      <w:lvlJc w:val="left"/>
      <w:pPr>
        <w:tabs>
          <w:tab w:val="left" w:pos="1305"/>
        </w:tabs>
        <w:ind w:left="1305" w:hanging="465"/>
      </w:pPr>
      <w:rPr>
        <w:rFonts w:hint="default" w:cs="黑体"/>
      </w:rPr>
    </w:lvl>
    <w:lvl w:ilvl="2" w:tentative="0">
      <w:start w:val="1"/>
      <w:numFmt w:val="decimal"/>
      <w:lvlText w:val="%3)"/>
      <w:lvlJc w:val="left"/>
      <w:pPr>
        <w:tabs>
          <w:tab w:val="left" w:pos="1500"/>
        </w:tabs>
        <w:ind w:left="1500" w:hanging="240"/>
      </w:pPr>
      <w:rPr>
        <w:rFonts w:hint="default"/>
      </w:rPr>
    </w:lvl>
    <w:lvl w:ilvl="3" w:tentative="0">
      <w:start w:val="1"/>
      <w:numFmt w:val="decimal"/>
      <w:lvlText w:val="%4）"/>
      <w:lvlJc w:val="left"/>
      <w:pPr>
        <w:tabs>
          <w:tab w:val="left" w:pos="2040"/>
        </w:tabs>
        <w:ind w:left="2040" w:hanging="360"/>
      </w:pPr>
      <w:rPr>
        <w:rFonts w:hint="default"/>
      </w:rPr>
    </w:lvl>
    <w:lvl w:ilvl="4" w:tentative="0">
      <w:start w:val="4"/>
      <w:numFmt w:val="decimal"/>
      <w:lvlText w:val="%5．"/>
      <w:lvlJc w:val="left"/>
      <w:pPr>
        <w:tabs>
          <w:tab w:val="left" w:pos="2460"/>
        </w:tabs>
        <w:ind w:left="2460" w:hanging="360"/>
      </w:pPr>
      <w:rPr>
        <w:rFonts w:hint="default"/>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8">
    <w:nsid w:val="00000012"/>
    <w:multiLevelType w:val="multilevel"/>
    <w:tmpl w:val="00000012"/>
    <w:lvl w:ilvl="0" w:tentative="0">
      <w:start w:val="4"/>
      <w:numFmt w:val="decimal"/>
      <w:lvlText w:val="%1"/>
      <w:lvlJc w:val="left"/>
      <w:pPr>
        <w:tabs>
          <w:tab w:val="left" w:pos="360"/>
        </w:tabs>
        <w:ind w:left="360" w:hanging="360"/>
      </w:pPr>
      <w:rPr>
        <w:rFonts w:hint="default" w:cs="Times New Roman"/>
      </w:rPr>
    </w:lvl>
    <w:lvl w:ilvl="1" w:tentative="0">
      <w:start w:val="1"/>
      <w:numFmt w:val="decimal"/>
      <w:lvlText w:val="%1.%2"/>
      <w:lvlJc w:val="left"/>
      <w:pPr>
        <w:tabs>
          <w:tab w:val="left" w:pos="360"/>
        </w:tabs>
        <w:ind w:left="360" w:hanging="36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9">
    <w:nsid w:val="00000013"/>
    <w:multiLevelType w:val="multilevel"/>
    <w:tmpl w:val="00000013"/>
    <w:lvl w:ilvl="0" w:tentative="0">
      <w:start w:val="1"/>
      <w:numFmt w:val="japaneseCounting"/>
      <w:lvlText w:val="第%1章"/>
      <w:lvlJc w:val="left"/>
      <w:pPr>
        <w:tabs>
          <w:tab w:val="left" w:pos="3615"/>
        </w:tabs>
        <w:ind w:left="3615" w:hanging="1455"/>
      </w:pPr>
      <w:rPr>
        <w:rFonts w:hint="default"/>
        <w:b/>
      </w:rPr>
    </w:lvl>
    <w:lvl w:ilvl="1" w:tentative="0">
      <w:start w:val="1"/>
      <w:numFmt w:val="decimal"/>
      <w:lvlText w:val="%2、"/>
      <w:lvlJc w:val="left"/>
      <w:pPr>
        <w:tabs>
          <w:tab w:val="left" w:pos="360"/>
        </w:tabs>
        <w:ind w:left="360" w:hanging="360"/>
      </w:pPr>
      <w:rPr>
        <w:rFonts w:hint="default"/>
      </w:rPr>
    </w:lvl>
    <w:lvl w:ilvl="2" w:tentative="0">
      <w:start w:val="1"/>
      <w:numFmt w:val="lowerRoman"/>
      <w:lvlText w:val="%3."/>
      <w:lvlJc w:val="right"/>
      <w:pPr>
        <w:tabs>
          <w:tab w:val="left" w:pos="3420"/>
        </w:tabs>
        <w:ind w:left="3420" w:hanging="420"/>
      </w:pPr>
    </w:lvl>
    <w:lvl w:ilvl="3" w:tentative="0">
      <w:start w:val="1"/>
      <w:numFmt w:val="japaneseCounting"/>
      <w:lvlText w:val="%4、"/>
      <w:lvlJc w:val="left"/>
      <w:pPr>
        <w:tabs>
          <w:tab w:val="left" w:pos="3840"/>
        </w:tabs>
        <w:ind w:left="3840" w:hanging="420"/>
      </w:pPr>
      <w:rPr>
        <w:rFonts w:hint="default"/>
      </w:rPr>
    </w:lvl>
    <w:lvl w:ilvl="4" w:tentative="0">
      <w:start w:val="1"/>
      <w:numFmt w:val="japaneseCounting"/>
      <w:lvlText w:val="（%5）"/>
      <w:lvlJc w:val="left"/>
      <w:pPr>
        <w:tabs>
          <w:tab w:val="left" w:pos="4560"/>
        </w:tabs>
        <w:ind w:left="4560" w:hanging="720"/>
      </w:pPr>
      <w:rPr>
        <w:rFonts w:hint="default"/>
      </w:rPr>
    </w:lvl>
    <w:lvl w:ilvl="5" w:tentative="0">
      <w:start w:val="1"/>
      <w:numFmt w:val="decimal"/>
      <w:lvlText w:val="%6）"/>
      <w:lvlJc w:val="left"/>
      <w:pPr>
        <w:tabs>
          <w:tab w:val="left" w:pos="4605"/>
        </w:tabs>
        <w:ind w:left="4605" w:hanging="345"/>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460"/>
        </w:tabs>
        <w:ind w:left="5460" w:hanging="360"/>
      </w:pPr>
      <w:rPr>
        <w:rFonts w:hint="default"/>
      </w:rPr>
    </w:lvl>
    <w:lvl w:ilvl="8" w:tentative="0">
      <w:start w:val="1"/>
      <w:numFmt w:val="lowerRoman"/>
      <w:lvlText w:val="%9."/>
      <w:lvlJc w:val="right"/>
      <w:pPr>
        <w:tabs>
          <w:tab w:val="left" w:pos="5940"/>
        </w:tabs>
        <w:ind w:left="5940" w:hanging="420"/>
      </w:pPr>
    </w:lvl>
  </w:abstractNum>
  <w:abstractNum w:abstractNumId="20">
    <w:nsid w:val="00000014"/>
    <w:multiLevelType w:val="multilevel"/>
    <w:tmpl w:val="00000014"/>
    <w:lvl w:ilvl="0" w:tentative="0">
      <w:start w:val="1"/>
      <w:numFmt w:val="japaneseCounting"/>
      <w:lvlText w:val="第%1章"/>
      <w:lvlJc w:val="left"/>
      <w:pPr>
        <w:tabs>
          <w:tab w:val="left" w:pos="1275"/>
        </w:tabs>
        <w:ind w:left="1275" w:hanging="1275"/>
      </w:pPr>
      <w:rPr>
        <w:rFonts w:hint="default"/>
        <w:b/>
        <w:sz w:val="36"/>
        <w:szCs w:val="36"/>
      </w:rPr>
    </w:lvl>
    <w:lvl w:ilvl="1" w:tentative="0">
      <w:start w:val="1"/>
      <w:numFmt w:val="japaneseCounting"/>
      <w:lvlText w:val="%2、"/>
      <w:lvlJc w:val="left"/>
      <w:pPr>
        <w:tabs>
          <w:tab w:val="left" w:pos="420"/>
        </w:tabs>
        <w:ind w:left="420" w:hanging="420"/>
      </w:pPr>
      <w:rPr>
        <w:rFonts w:hint="default"/>
        <w:sz w:val="21"/>
        <w:szCs w:val="21"/>
      </w:rPr>
    </w:lvl>
    <w:lvl w:ilvl="2" w:tentative="0">
      <w:start w:val="1"/>
      <w:numFmt w:val="decimal"/>
      <w:lvlText w:val="%3、"/>
      <w:lvlJc w:val="left"/>
      <w:pPr>
        <w:tabs>
          <w:tab w:val="left" w:pos="420"/>
        </w:tabs>
        <w:ind w:left="0" w:firstLine="420"/>
      </w:pPr>
      <w:rPr>
        <w:rFonts w:hint="default"/>
        <w:b w:val="0"/>
        <w:sz w:val="21"/>
        <w:szCs w:val="21"/>
      </w:rPr>
    </w:lvl>
    <w:lvl w:ilvl="3" w:tentative="0">
      <w:start w:val="1"/>
      <w:numFmt w:val="decimal"/>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00000015"/>
    <w:multiLevelType w:val="multilevel"/>
    <w:tmpl w:val="00000015"/>
    <w:lvl w:ilvl="0" w:tentative="0">
      <w:start w:val="17"/>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2">
    <w:nsid w:val="00000016"/>
    <w:multiLevelType w:val="multilevel"/>
    <w:tmpl w:val="00000016"/>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00000017"/>
    <w:multiLevelType w:val="singleLevel"/>
    <w:tmpl w:val="00000017"/>
    <w:lvl w:ilvl="0" w:tentative="0">
      <w:start w:val="1"/>
      <w:numFmt w:val="decimal"/>
      <w:suff w:val="nothing"/>
      <w:lvlText w:val="%1．"/>
      <w:lvlJc w:val="left"/>
      <w:pPr>
        <w:ind w:left="0" w:firstLine="400"/>
      </w:pPr>
      <w:rPr>
        <w:rFonts w:hint="default"/>
      </w:rPr>
    </w:lvl>
  </w:abstractNum>
  <w:abstractNum w:abstractNumId="24">
    <w:nsid w:val="00000019"/>
    <w:multiLevelType w:val="multilevel"/>
    <w:tmpl w:val="0000001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5">
    <w:nsid w:val="0000001A"/>
    <w:multiLevelType w:val="multilevel"/>
    <w:tmpl w:val="0000001A"/>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6">
    <w:nsid w:val="0000001B"/>
    <w:multiLevelType w:val="multilevel"/>
    <w:tmpl w:val="0000001B"/>
    <w:lvl w:ilvl="0" w:tentative="0">
      <w:start w:val="7"/>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7">
    <w:nsid w:val="0000001C"/>
    <w:multiLevelType w:val="multilevel"/>
    <w:tmpl w:val="0000001C"/>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8">
    <w:nsid w:val="0000001D"/>
    <w:multiLevelType w:val="multilevel"/>
    <w:tmpl w:val="0000001D"/>
    <w:lvl w:ilvl="0" w:tentative="0">
      <w:start w:val="9"/>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9">
    <w:nsid w:val="0000001E"/>
    <w:multiLevelType w:val="multilevel"/>
    <w:tmpl w:val="0000001E"/>
    <w:lvl w:ilvl="0" w:tentative="0">
      <w:start w:val="16"/>
      <w:numFmt w:val="decimal"/>
      <w:lvlText w:val="%1"/>
      <w:lvlJc w:val="left"/>
      <w:pPr>
        <w:tabs>
          <w:tab w:val="left" w:pos="600"/>
        </w:tabs>
        <w:ind w:left="600" w:hanging="600"/>
      </w:pPr>
      <w:rPr>
        <w:rFonts w:hint="default"/>
      </w:rPr>
    </w:lvl>
    <w:lvl w:ilvl="1" w:tentative="0">
      <w:start w:val="1"/>
      <w:numFmt w:val="decimal"/>
      <w:lvlText w:val="%1.%2"/>
      <w:lvlJc w:val="left"/>
      <w:pPr>
        <w:tabs>
          <w:tab w:val="left" w:pos="600"/>
        </w:tabs>
        <w:ind w:left="600" w:hanging="600"/>
      </w:pPr>
      <w:rPr>
        <w:rFonts w:hint="default"/>
      </w:rPr>
    </w:lvl>
    <w:lvl w:ilvl="2" w:tentative="0">
      <w:start w:val="1"/>
      <w:numFmt w:val="decimal"/>
      <w:lvlText w:val="%1.%2.%3"/>
      <w:lvlJc w:val="left"/>
      <w:pPr>
        <w:tabs>
          <w:tab w:val="left" w:pos="600"/>
        </w:tabs>
        <w:ind w:left="600" w:hanging="600"/>
      </w:pPr>
      <w:rPr>
        <w:rFonts w:hint="default"/>
      </w:rPr>
    </w:lvl>
    <w:lvl w:ilvl="3" w:tentative="0">
      <w:start w:val="1"/>
      <w:numFmt w:val="decimal"/>
      <w:lvlText w:val="%1.%2.%3.%4"/>
      <w:lvlJc w:val="left"/>
      <w:pPr>
        <w:tabs>
          <w:tab w:val="left" w:pos="600"/>
        </w:tabs>
        <w:ind w:left="600" w:hanging="600"/>
      </w:pPr>
      <w:rPr>
        <w:rFonts w:hint="default"/>
      </w:rPr>
    </w:lvl>
    <w:lvl w:ilvl="4" w:tentative="0">
      <w:start w:val="1"/>
      <w:numFmt w:val="decimal"/>
      <w:lvlText w:val="%1.%2.%3.%4.%5"/>
      <w:lvlJc w:val="left"/>
      <w:pPr>
        <w:tabs>
          <w:tab w:val="left" w:pos="600"/>
        </w:tabs>
        <w:ind w:left="600" w:hanging="600"/>
      </w:pPr>
      <w:rPr>
        <w:rFonts w:hint="default"/>
      </w:rPr>
    </w:lvl>
    <w:lvl w:ilvl="5" w:tentative="0">
      <w:start w:val="1"/>
      <w:numFmt w:val="decimal"/>
      <w:lvlText w:val="%1.%2.%3.%4.%5.%6"/>
      <w:lvlJc w:val="left"/>
      <w:pPr>
        <w:tabs>
          <w:tab w:val="left" w:pos="600"/>
        </w:tabs>
        <w:ind w:left="600" w:hanging="600"/>
      </w:pPr>
      <w:rPr>
        <w:rFonts w:hint="default"/>
      </w:rPr>
    </w:lvl>
    <w:lvl w:ilvl="6" w:tentative="0">
      <w:start w:val="1"/>
      <w:numFmt w:val="decimal"/>
      <w:lvlText w:val="%1.%2.%3.%4.%5.%6.%7"/>
      <w:lvlJc w:val="left"/>
      <w:pPr>
        <w:tabs>
          <w:tab w:val="left" w:pos="600"/>
        </w:tabs>
        <w:ind w:left="600" w:hanging="600"/>
      </w:pPr>
      <w:rPr>
        <w:rFonts w:hint="default"/>
      </w:rPr>
    </w:lvl>
    <w:lvl w:ilvl="7" w:tentative="0">
      <w:start w:val="1"/>
      <w:numFmt w:val="decimal"/>
      <w:lvlText w:val="%1.%2.%3.%4.%5.%6.%7.%8"/>
      <w:lvlJc w:val="left"/>
      <w:pPr>
        <w:tabs>
          <w:tab w:val="left" w:pos="600"/>
        </w:tabs>
        <w:ind w:left="600" w:hanging="600"/>
      </w:pPr>
      <w:rPr>
        <w:rFonts w:hint="default"/>
      </w:rPr>
    </w:lvl>
    <w:lvl w:ilvl="8" w:tentative="0">
      <w:start w:val="1"/>
      <w:numFmt w:val="decimal"/>
      <w:lvlText w:val="%1.%2.%3.%4.%5.%6.%7.%8.%9"/>
      <w:lvlJc w:val="left"/>
      <w:pPr>
        <w:tabs>
          <w:tab w:val="left" w:pos="600"/>
        </w:tabs>
        <w:ind w:left="600" w:hanging="600"/>
      </w:pPr>
      <w:rPr>
        <w:rFonts w:hint="default"/>
      </w:rPr>
    </w:lvl>
  </w:abstractNum>
  <w:abstractNum w:abstractNumId="30">
    <w:nsid w:val="0000001F"/>
    <w:multiLevelType w:val="multilevel"/>
    <w:tmpl w:val="0000001F"/>
    <w:lvl w:ilvl="0" w:tentative="0">
      <w:start w:val="13"/>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31">
    <w:nsid w:val="00000020"/>
    <w:multiLevelType w:val="multilevel"/>
    <w:tmpl w:val="00000020"/>
    <w:lvl w:ilvl="0" w:tentative="0">
      <w:start w:val="28"/>
      <w:numFmt w:val="decimal"/>
      <w:lvlText w:val="%1、"/>
      <w:lvlJc w:val="left"/>
      <w:pPr>
        <w:ind w:left="465" w:hanging="4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00000021"/>
    <w:multiLevelType w:val="multilevel"/>
    <w:tmpl w:val="00000021"/>
    <w:lvl w:ilvl="0" w:tentative="0">
      <w:start w:val="22"/>
      <w:numFmt w:val="decimal"/>
      <w:lvlText w:val="%1"/>
      <w:lvlJc w:val="left"/>
      <w:pPr>
        <w:tabs>
          <w:tab w:val="left" w:pos="480"/>
        </w:tabs>
        <w:ind w:left="480" w:hanging="480"/>
      </w:pPr>
      <w:rPr>
        <w:rFonts w:hint="default"/>
      </w:rPr>
    </w:lvl>
    <w:lvl w:ilvl="1" w:tentative="0">
      <w:start w:val="1"/>
      <w:numFmt w:val="decimal"/>
      <w:lvlText w:val="%1.%2"/>
      <w:lvlJc w:val="left"/>
      <w:pPr>
        <w:tabs>
          <w:tab w:val="left" w:pos="840"/>
        </w:tabs>
        <w:ind w:left="840" w:hanging="48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33">
    <w:nsid w:val="00000022"/>
    <w:multiLevelType w:val="multilevel"/>
    <w:tmpl w:val="00000022"/>
    <w:lvl w:ilvl="0" w:tentative="0">
      <w:start w:val="1"/>
      <w:numFmt w:val="decimal"/>
      <w:lvlText w:val="%1）"/>
      <w:lvlJc w:val="left"/>
      <w:pPr>
        <w:tabs>
          <w:tab w:val="left" w:pos="2040"/>
        </w:tabs>
        <w:ind w:left="2040" w:hanging="360"/>
      </w:pPr>
      <w:rPr>
        <w:rFonts w:hint="default"/>
      </w:rPr>
    </w:lvl>
    <w:lvl w:ilvl="1" w:tentative="0">
      <w:start w:val="3"/>
      <w:numFmt w:val="japaneseCounting"/>
      <w:lvlText w:val="%2、"/>
      <w:lvlJc w:val="left"/>
      <w:pPr>
        <w:tabs>
          <w:tab w:val="left" w:pos="840"/>
        </w:tabs>
        <w:ind w:left="840" w:hanging="420"/>
      </w:pPr>
      <w:rPr>
        <w:rFonts w:hint="default"/>
      </w:rPr>
    </w:lvl>
    <w:lvl w:ilvl="2" w:tentative="0">
      <w:start w:val="1"/>
      <w:numFmt w:val="decimal"/>
      <w:lvlText w:val="%3."/>
      <w:lvlJc w:val="left"/>
      <w:pPr>
        <w:tabs>
          <w:tab w:val="left" w:pos="1200"/>
        </w:tabs>
        <w:ind w:left="1200" w:hanging="360"/>
      </w:pPr>
      <w:rPr>
        <w:rFonts w:hint="eastAsia" w:ascii="宋体" w:hAnsi="宋体" w:eastAsia="宋体" w:cs="Times New Roman"/>
      </w:rPr>
    </w:lvl>
    <w:lvl w:ilvl="3" w:tentative="0">
      <w:start w:val="1"/>
      <w:numFmt w:val="decimal"/>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rPr>
        <w:b w:val="0"/>
        <w:sz w:val="21"/>
        <w:szCs w:val="21"/>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00000023"/>
    <w:multiLevelType w:val="multilevel"/>
    <w:tmpl w:val="00000023"/>
    <w:lvl w:ilvl="0" w:tentative="0">
      <w:start w:val="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5">
    <w:nsid w:val="00000024"/>
    <w:multiLevelType w:val="multilevel"/>
    <w:tmpl w:val="00000024"/>
    <w:lvl w:ilvl="0" w:tentative="0">
      <w:start w:val="3"/>
      <w:numFmt w:val="decimal"/>
      <w:lvlText w:val="%1"/>
      <w:lvlJc w:val="left"/>
      <w:pPr>
        <w:tabs>
          <w:tab w:val="left" w:pos="360"/>
        </w:tabs>
        <w:ind w:left="360" w:hanging="360"/>
      </w:pPr>
      <w:rPr>
        <w:rFonts w:hint="default" w:cs="宋体"/>
      </w:rPr>
    </w:lvl>
    <w:lvl w:ilvl="1" w:tentative="0">
      <w:start w:val="1"/>
      <w:numFmt w:val="decimal"/>
      <w:lvlText w:val="%1.%2"/>
      <w:lvlJc w:val="left"/>
      <w:pPr>
        <w:tabs>
          <w:tab w:val="left" w:pos="360"/>
        </w:tabs>
        <w:ind w:left="360" w:hanging="360"/>
      </w:pPr>
      <w:rPr>
        <w:rFonts w:hint="default" w:cs="宋体"/>
      </w:rPr>
    </w:lvl>
    <w:lvl w:ilvl="2" w:tentative="0">
      <w:start w:val="1"/>
      <w:numFmt w:val="decimal"/>
      <w:lvlText w:val="%1.%2.%3"/>
      <w:lvlJc w:val="left"/>
      <w:pPr>
        <w:tabs>
          <w:tab w:val="left" w:pos="720"/>
        </w:tabs>
        <w:ind w:left="720" w:hanging="720"/>
      </w:pPr>
      <w:rPr>
        <w:rFonts w:hint="default" w:cs="宋体"/>
      </w:rPr>
    </w:lvl>
    <w:lvl w:ilvl="3" w:tentative="0">
      <w:start w:val="1"/>
      <w:numFmt w:val="decimal"/>
      <w:lvlText w:val="%1.%2.%3.%4"/>
      <w:lvlJc w:val="left"/>
      <w:pPr>
        <w:tabs>
          <w:tab w:val="left" w:pos="1080"/>
        </w:tabs>
        <w:ind w:left="1080" w:hanging="1080"/>
      </w:pPr>
      <w:rPr>
        <w:rFonts w:hint="default" w:cs="宋体"/>
      </w:rPr>
    </w:lvl>
    <w:lvl w:ilvl="4" w:tentative="0">
      <w:start w:val="1"/>
      <w:numFmt w:val="decimal"/>
      <w:lvlText w:val="%1.%2.%3.%4.%5"/>
      <w:lvlJc w:val="left"/>
      <w:pPr>
        <w:tabs>
          <w:tab w:val="left" w:pos="1080"/>
        </w:tabs>
        <w:ind w:left="1080" w:hanging="1080"/>
      </w:pPr>
      <w:rPr>
        <w:rFonts w:hint="default" w:cs="宋体"/>
      </w:rPr>
    </w:lvl>
    <w:lvl w:ilvl="5" w:tentative="0">
      <w:start w:val="1"/>
      <w:numFmt w:val="decimal"/>
      <w:lvlText w:val="%1.%2.%3.%4.%5.%6"/>
      <w:lvlJc w:val="left"/>
      <w:pPr>
        <w:tabs>
          <w:tab w:val="left" w:pos="1440"/>
        </w:tabs>
        <w:ind w:left="1440" w:hanging="1440"/>
      </w:pPr>
      <w:rPr>
        <w:rFonts w:hint="default" w:cs="宋体"/>
      </w:rPr>
    </w:lvl>
    <w:lvl w:ilvl="6" w:tentative="0">
      <w:start w:val="1"/>
      <w:numFmt w:val="decimal"/>
      <w:lvlText w:val="%1.%2.%3.%4.%5.%6.%7"/>
      <w:lvlJc w:val="left"/>
      <w:pPr>
        <w:tabs>
          <w:tab w:val="left" w:pos="1440"/>
        </w:tabs>
        <w:ind w:left="1440" w:hanging="1440"/>
      </w:pPr>
      <w:rPr>
        <w:rFonts w:hint="default" w:cs="宋体"/>
      </w:rPr>
    </w:lvl>
    <w:lvl w:ilvl="7" w:tentative="0">
      <w:start w:val="1"/>
      <w:numFmt w:val="decimal"/>
      <w:lvlText w:val="%1.%2.%3.%4.%5.%6.%7.%8"/>
      <w:lvlJc w:val="left"/>
      <w:pPr>
        <w:tabs>
          <w:tab w:val="left" w:pos="1800"/>
        </w:tabs>
        <w:ind w:left="1800" w:hanging="1800"/>
      </w:pPr>
      <w:rPr>
        <w:rFonts w:hint="default" w:cs="宋体"/>
      </w:rPr>
    </w:lvl>
    <w:lvl w:ilvl="8" w:tentative="0">
      <w:start w:val="1"/>
      <w:numFmt w:val="decimal"/>
      <w:lvlText w:val="%1.%2.%3.%4.%5.%6.%7.%8.%9"/>
      <w:lvlJc w:val="left"/>
      <w:pPr>
        <w:tabs>
          <w:tab w:val="left" w:pos="1800"/>
        </w:tabs>
        <w:ind w:left="1800" w:hanging="1800"/>
      </w:pPr>
      <w:rPr>
        <w:rFonts w:hint="default" w:cs="宋体"/>
      </w:rPr>
    </w:lvl>
  </w:abstractNum>
  <w:abstractNum w:abstractNumId="36">
    <w:nsid w:val="0053208E"/>
    <w:multiLevelType w:val="multilevel"/>
    <w:tmpl w:val="0053208E"/>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37">
    <w:nsid w:val="019E28C6"/>
    <w:multiLevelType w:val="multilevel"/>
    <w:tmpl w:val="019E28C6"/>
    <w:lvl w:ilvl="0" w:tentative="0">
      <w:start w:val="1"/>
      <w:numFmt w:val="japaneseCounting"/>
      <w:lvlText w:val="%1．"/>
      <w:lvlJc w:val="left"/>
      <w:pPr>
        <w:tabs>
          <w:tab w:val="left" w:pos="420"/>
        </w:tabs>
        <w:ind w:left="420" w:hanging="420"/>
      </w:pPr>
      <w:rPr>
        <w:rFonts w:hint="default"/>
      </w:rPr>
    </w:lvl>
    <w:lvl w:ilvl="1" w:tentative="0">
      <w:start w:val="1"/>
      <w:numFmt w:val="decimal"/>
      <w:lvlText w:val="%2."/>
      <w:lvlJc w:val="left"/>
      <w:pPr>
        <w:tabs>
          <w:tab w:val="left" w:pos="1110"/>
        </w:tabs>
        <w:ind w:left="1110" w:hanging="69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7889764A"/>
    <w:multiLevelType w:val="multilevel"/>
    <w:tmpl w:val="7889764A"/>
    <w:lvl w:ilvl="0" w:tentative="0">
      <w:start w:val="1"/>
      <w:numFmt w:val="decimal"/>
      <w:lvlText w:val="%1、"/>
      <w:lvlJc w:val="left"/>
      <w:pPr>
        <w:tabs>
          <w:tab w:val="left" w:pos="540"/>
        </w:tabs>
        <w:ind w:left="540" w:hanging="360"/>
      </w:pPr>
      <w:rPr>
        <w:rFonts w:hint="default"/>
        <w:b/>
      </w:rPr>
    </w:lvl>
    <w:lvl w:ilvl="1" w:tentative="0">
      <w:start w:val="1"/>
      <w:numFmt w:val="decimal"/>
      <w:lvlText w:val="（%2）"/>
      <w:lvlJc w:val="left"/>
      <w:pPr>
        <w:tabs>
          <w:tab w:val="left" w:pos="1094"/>
        </w:tabs>
        <w:ind w:left="1094" w:hanging="674"/>
      </w:pPr>
      <w:rPr>
        <w:rFonts w:hint="default"/>
      </w:rPr>
    </w:lvl>
    <w:lvl w:ilvl="2" w:tentative="0">
      <w:start w:val="1"/>
      <w:numFmt w:val="lowerLetter"/>
      <w:lvlText w:val="%3）"/>
      <w:lvlJc w:val="left"/>
      <w:pPr>
        <w:tabs>
          <w:tab w:val="left" w:pos="1620"/>
        </w:tabs>
        <w:ind w:left="1620" w:hanging="360"/>
      </w:pPr>
      <w:rPr>
        <w:rFonts w:hint="default"/>
        <w:b w:val="0"/>
      </w:rPr>
    </w:lvl>
    <w:lvl w:ilvl="3" w:tentative="0">
      <w:start w:val="1"/>
      <w:numFmt w:val="decimal"/>
      <w:lvlText w:val="%4）"/>
      <w:lvlJc w:val="left"/>
      <w:pPr>
        <w:tabs>
          <w:tab w:val="left" w:pos="2040"/>
        </w:tabs>
        <w:ind w:left="2040" w:hanging="360"/>
      </w:pPr>
      <w:rPr>
        <w:rFonts w:hint="default"/>
      </w:rPr>
    </w:lvl>
    <w:lvl w:ilvl="4" w:tentative="0">
      <w:start w:val="1"/>
      <w:numFmt w:val="decimal"/>
      <w:lvlText w:val="%5."/>
      <w:lvlJc w:val="left"/>
      <w:pPr>
        <w:tabs>
          <w:tab w:val="left" w:pos="502"/>
        </w:tabs>
        <w:ind w:left="502" w:hanging="360"/>
      </w:pPr>
      <w:rPr>
        <w:rFonts w:hint="default"/>
        <w:b/>
        <w:sz w:val="24"/>
        <w:szCs w:val="24"/>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20"/>
  </w:num>
  <w:num w:numId="2">
    <w:abstractNumId w:val="5"/>
  </w:num>
  <w:num w:numId="3">
    <w:abstractNumId w:val="9"/>
  </w:num>
  <w:num w:numId="4">
    <w:abstractNumId w:val="25"/>
  </w:num>
  <w:num w:numId="5">
    <w:abstractNumId w:val="34"/>
  </w:num>
  <w:num w:numId="6">
    <w:abstractNumId w:val="18"/>
  </w:num>
  <w:num w:numId="7">
    <w:abstractNumId w:val="35"/>
  </w:num>
  <w:num w:numId="8">
    <w:abstractNumId w:val="22"/>
  </w:num>
  <w:num w:numId="9">
    <w:abstractNumId w:val="24"/>
  </w:num>
  <w:num w:numId="10">
    <w:abstractNumId w:val="26"/>
  </w:num>
  <w:num w:numId="11">
    <w:abstractNumId w:val="2"/>
  </w:num>
  <w:num w:numId="12">
    <w:abstractNumId w:val="28"/>
  </w:num>
  <w:num w:numId="13">
    <w:abstractNumId w:val="3"/>
  </w:num>
  <w:num w:numId="14">
    <w:abstractNumId w:val="16"/>
  </w:num>
  <w:num w:numId="15">
    <w:abstractNumId w:val="13"/>
  </w:num>
  <w:num w:numId="16">
    <w:abstractNumId w:val="30"/>
  </w:num>
  <w:num w:numId="17">
    <w:abstractNumId w:val="8"/>
  </w:num>
  <w:num w:numId="18">
    <w:abstractNumId w:val="17"/>
  </w:num>
  <w:num w:numId="19">
    <w:abstractNumId w:val="4"/>
  </w:num>
  <w:num w:numId="20">
    <w:abstractNumId w:val="29"/>
  </w:num>
  <w:num w:numId="21">
    <w:abstractNumId w:val="33"/>
  </w:num>
  <w:num w:numId="22">
    <w:abstractNumId w:val="21"/>
  </w:num>
  <w:num w:numId="23">
    <w:abstractNumId w:val="14"/>
  </w:num>
  <w:num w:numId="24">
    <w:abstractNumId w:val="7"/>
  </w:num>
  <w:num w:numId="25">
    <w:abstractNumId w:val="12"/>
  </w:num>
  <w:num w:numId="26">
    <w:abstractNumId w:val="32"/>
  </w:num>
  <w:num w:numId="27">
    <w:abstractNumId w:val="15"/>
  </w:num>
  <w:num w:numId="28">
    <w:abstractNumId w:val="31"/>
  </w:num>
  <w:num w:numId="29">
    <w:abstractNumId w:val="27"/>
  </w:num>
  <w:num w:numId="30">
    <w:abstractNumId w:val="37"/>
  </w:num>
  <w:num w:numId="31">
    <w:abstractNumId w:val="38"/>
  </w:num>
  <w:num w:numId="32">
    <w:abstractNumId w:val="10"/>
  </w:num>
  <w:num w:numId="33">
    <w:abstractNumId w:val="23"/>
  </w:num>
  <w:num w:numId="34">
    <w:abstractNumId w:val="36"/>
  </w:num>
  <w:num w:numId="35">
    <w:abstractNumId w:val="1"/>
  </w:num>
  <w:num w:numId="36">
    <w:abstractNumId w:val="11"/>
  </w:num>
  <w:num w:numId="37">
    <w:abstractNumId w:val="6"/>
  </w:num>
  <w:num w:numId="38">
    <w:abstractNumId w:val="19"/>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5YTRhMzA0MDlhNzJlNDFlYjgzN2FkNTJmN2FhYmEifQ=="/>
    <w:docVar w:name="KSO_WPS_MARK_KEY" w:val="53f2477d-178e-4ed1-afa4-a18fc11418df"/>
  </w:docVars>
  <w:rsids>
    <w:rsidRoot w:val="00D0032A"/>
    <w:rsid w:val="00023AB3"/>
    <w:rsid w:val="00052AB3"/>
    <w:rsid w:val="00094798"/>
    <w:rsid w:val="000A7520"/>
    <w:rsid w:val="000C3560"/>
    <w:rsid w:val="00107C3D"/>
    <w:rsid w:val="00110531"/>
    <w:rsid w:val="00117E60"/>
    <w:rsid w:val="001315AE"/>
    <w:rsid w:val="001324C4"/>
    <w:rsid w:val="001726BE"/>
    <w:rsid w:val="00185F49"/>
    <w:rsid w:val="001B2472"/>
    <w:rsid w:val="001B508D"/>
    <w:rsid w:val="001C5A6E"/>
    <w:rsid w:val="001C6E8A"/>
    <w:rsid w:val="001D07E4"/>
    <w:rsid w:val="001D5832"/>
    <w:rsid w:val="00201F1A"/>
    <w:rsid w:val="00213094"/>
    <w:rsid w:val="00224C1F"/>
    <w:rsid w:val="00257173"/>
    <w:rsid w:val="002572FC"/>
    <w:rsid w:val="002746B2"/>
    <w:rsid w:val="002753D0"/>
    <w:rsid w:val="00285E43"/>
    <w:rsid w:val="00293A75"/>
    <w:rsid w:val="002954F4"/>
    <w:rsid w:val="002A15B3"/>
    <w:rsid w:val="002D04EE"/>
    <w:rsid w:val="002D5C82"/>
    <w:rsid w:val="002E14E9"/>
    <w:rsid w:val="002E55BA"/>
    <w:rsid w:val="002E7D9D"/>
    <w:rsid w:val="00301C0A"/>
    <w:rsid w:val="00310DD1"/>
    <w:rsid w:val="00313543"/>
    <w:rsid w:val="003351E8"/>
    <w:rsid w:val="00350F8D"/>
    <w:rsid w:val="00390A8B"/>
    <w:rsid w:val="003B17E8"/>
    <w:rsid w:val="003D1349"/>
    <w:rsid w:val="003D2895"/>
    <w:rsid w:val="00404283"/>
    <w:rsid w:val="00451289"/>
    <w:rsid w:val="00454FFC"/>
    <w:rsid w:val="00463B54"/>
    <w:rsid w:val="0046623E"/>
    <w:rsid w:val="0047119C"/>
    <w:rsid w:val="004877DF"/>
    <w:rsid w:val="00494BA7"/>
    <w:rsid w:val="004B0577"/>
    <w:rsid w:val="004C3150"/>
    <w:rsid w:val="004C49F0"/>
    <w:rsid w:val="004E24E6"/>
    <w:rsid w:val="004F5185"/>
    <w:rsid w:val="00543525"/>
    <w:rsid w:val="00550638"/>
    <w:rsid w:val="005860B3"/>
    <w:rsid w:val="005A534B"/>
    <w:rsid w:val="005C0AC9"/>
    <w:rsid w:val="005C7F7A"/>
    <w:rsid w:val="005D3353"/>
    <w:rsid w:val="005D6B47"/>
    <w:rsid w:val="005E50DC"/>
    <w:rsid w:val="005E6F5E"/>
    <w:rsid w:val="00603CD4"/>
    <w:rsid w:val="006338AB"/>
    <w:rsid w:val="00640903"/>
    <w:rsid w:val="006B02D1"/>
    <w:rsid w:val="006B7CBC"/>
    <w:rsid w:val="006C411A"/>
    <w:rsid w:val="006F3108"/>
    <w:rsid w:val="007071CB"/>
    <w:rsid w:val="00714F4C"/>
    <w:rsid w:val="00736D14"/>
    <w:rsid w:val="0075418B"/>
    <w:rsid w:val="00760908"/>
    <w:rsid w:val="00772D4F"/>
    <w:rsid w:val="007F596B"/>
    <w:rsid w:val="00801AB1"/>
    <w:rsid w:val="00806501"/>
    <w:rsid w:val="0082171D"/>
    <w:rsid w:val="008416D0"/>
    <w:rsid w:val="00853265"/>
    <w:rsid w:val="00856422"/>
    <w:rsid w:val="00875434"/>
    <w:rsid w:val="00883F7C"/>
    <w:rsid w:val="008A0941"/>
    <w:rsid w:val="008A0949"/>
    <w:rsid w:val="008C2E6A"/>
    <w:rsid w:val="008F50F4"/>
    <w:rsid w:val="009A2DC0"/>
    <w:rsid w:val="009B1607"/>
    <w:rsid w:val="009B2976"/>
    <w:rsid w:val="009B59E7"/>
    <w:rsid w:val="009E0376"/>
    <w:rsid w:val="009E60A1"/>
    <w:rsid w:val="00A01763"/>
    <w:rsid w:val="00A22226"/>
    <w:rsid w:val="00A33CFE"/>
    <w:rsid w:val="00A8255E"/>
    <w:rsid w:val="00A9292C"/>
    <w:rsid w:val="00A97036"/>
    <w:rsid w:val="00AC0A65"/>
    <w:rsid w:val="00AE292F"/>
    <w:rsid w:val="00B01C20"/>
    <w:rsid w:val="00B1272D"/>
    <w:rsid w:val="00B209D8"/>
    <w:rsid w:val="00B20AC6"/>
    <w:rsid w:val="00B547EC"/>
    <w:rsid w:val="00B74544"/>
    <w:rsid w:val="00B868C9"/>
    <w:rsid w:val="00B8743F"/>
    <w:rsid w:val="00B92D51"/>
    <w:rsid w:val="00BA3DE3"/>
    <w:rsid w:val="00BC0E02"/>
    <w:rsid w:val="00BC4EF4"/>
    <w:rsid w:val="00BD29DC"/>
    <w:rsid w:val="00BE0763"/>
    <w:rsid w:val="00BE4D59"/>
    <w:rsid w:val="00BF41A4"/>
    <w:rsid w:val="00BF5E3D"/>
    <w:rsid w:val="00C11D41"/>
    <w:rsid w:val="00C3362A"/>
    <w:rsid w:val="00C4771E"/>
    <w:rsid w:val="00C5199C"/>
    <w:rsid w:val="00C55DB6"/>
    <w:rsid w:val="00C86B2A"/>
    <w:rsid w:val="00C9472E"/>
    <w:rsid w:val="00CA0A9F"/>
    <w:rsid w:val="00CD62A6"/>
    <w:rsid w:val="00CE5DEF"/>
    <w:rsid w:val="00CE68FE"/>
    <w:rsid w:val="00CE724F"/>
    <w:rsid w:val="00CF5A44"/>
    <w:rsid w:val="00D0032A"/>
    <w:rsid w:val="00D16CAD"/>
    <w:rsid w:val="00D306DF"/>
    <w:rsid w:val="00D3572A"/>
    <w:rsid w:val="00D56EDF"/>
    <w:rsid w:val="00DE2757"/>
    <w:rsid w:val="00DE406F"/>
    <w:rsid w:val="00DE4380"/>
    <w:rsid w:val="00E02E2C"/>
    <w:rsid w:val="00E209F2"/>
    <w:rsid w:val="00E26334"/>
    <w:rsid w:val="00E30CC3"/>
    <w:rsid w:val="00E54761"/>
    <w:rsid w:val="00E5772E"/>
    <w:rsid w:val="00E77BDD"/>
    <w:rsid w:val="00EB258D"/>
    <w:rsid w:val="00EC15D2"/>
    <w:rsid w:val="00EC36CA"/>
    <w:rsid w:val="00EE0473"/>
    <w:rsid w:val="00EE5B65"/>
    <w:rsid w:val="00F05597"/>
    <w:rsid w:val="00F15309"/>
    <w:rsid w:val="00F23FEA"/>
    <w:rsid w:val="00F66758"/>
    <w:rsid w:val="00F67647"/>
    <w:rsid w:val="00FC49E8"/>
    <w:rsid w:val="03DF3744"/>
    <w:rsid w:val="046B69F5"/>
    <w:rsid w:val="04A7342C"/>
    <w:rsid w:val="0633331B"/>
    <w:rsid w:val="068D5B09"/>
    <w:rsid w:val="06AE3E0A"/>
    <w:rsid w:val="06BA29ED"/>
    <w:rsid w:val="075347A0"/>
    <w:rsid w:val="0B6363AB"/>
    <w:rsid w:val="0EB16EFB"/>
    <w:rsid w:val="0ECC2721"/>
    <w:rsid w:val="0FDE09E6"/>
    <w:rsid w:val="11737E03"/>
    <w:rsid w:val="122E28F9"/>
    <w:rsid w:val="12315712"/>
    <w:rsid w:val="124C4561"/>
    <w:rsid w:val="13B863AC"/>
    <w:rsid w:val="1453585B"/>
    <w:rsid w:val="15E0113D"/>
    <w:rsid w:val="165319B9"/>
    <w:rsid w:val="177A213A"/>
    <w:rsid w:val="18CE7A49"/>
    <w:rsid w:val="196A7A95"/>
    <w:rsid w:val="1A3939D2"/>
    <w:rsid w:val="1B487F31"/>
    <w:rsid w:val="1C5E4D9C"/>
    <w:rsid w:val="1CC11557"/>
    <w:rsid w:val="1DEF26B7"/>
    <w:rsid w:val="1EBB3FE2"/>
    <w:rsid w:val="200338B6"/>
    <w:rsid w:val="20643A93"/>
    <w:rsid w:val="2133595E"/>
    <w:rsid w:val="21464280"/>
    <w:rsid w:val="21607CB6"/>
    <w:rsid w:val="219F6400"/>
    <w:rsid w:val="21DF59DE"/>
    <w:rsid w:val="22190792"/>
    <w:rsid w:val="231057D9"/>
    <w:rsid w:val="24FE761C"/>
    <w:rsid w:val="25891872"/>
    <w:rsid w:val="25AA4522"/>
    <w:rsid w:val="26742CA7"/>
    <w:rsid w:val="26906C30"/>
    <w:rsid w:val="2694227D"/>
    <w:rsid w:val="26D87A25"/>
    <w:rsid w:val="278B7B24"/>
    <w:rsid w:val="2818177D"/>
    <w:rsid w:val="281B6434"/>
    <w:rsid w:val="282D0C75"/>
    <w:rsid w:val="28313DB4"/>
    <w:rsid w:val="297150EE"/>
    <w:rsid w:val="2B993E44"/>
    <w:rsid w:val="2C620A52"/>
    <w:rsid w:val="2DE806A9"/>
    <w:rsid w:val="2E5833DC"/>
    <w:rsid w:val="2E663C17"/>
    <w:rsid w:val="2EFD15C4"/>
    <w:rsid w:val="2FE51176"/>
    <w:rsid w:val="31B4207E"/>
    <w:rsid w:val="31F2079F"/>
    <w:rsid w:val="33F00AC4"/>
    <w:rsid w:val="37735EDE"/>
    <w:rsid w:val="37A83712"/>
    <w:rsid w:val="37CE27EC"/>
    <w:rsid w:val="387578C4"/>
    <w:rsid w:val="39FE4185"/>
    <w:rsid w:val="3A3B7187"/>
    <w:rsid w:val="3A506A32"/>
    <w:rsid w:val="3C51263E"/>
    <w:rsid w:val="3C9C1627"/>
    <w:rsid w:val="3CC65551"/>
    <w:rsid w:val="3E1877DF"/>
    <w:rsid w:val="3E525F08"/>
    <w:rsid w:val="3E6660E1"/>
    <w:rsid w:val="3E7517F2"/>
    <w:rsid w:val="3F483DFB"/>
    <w:rsid w:val="3F693ABE"/>
    <w:rsid w:val="406A3E0B"/>
    <w:rsid w:val="40D80565"/>
    <w:rsid w:val="41471765"/>
    <w:rsid w:val="41FA2085"/>
    <w:rsid w:val="425752A0"/>
    <w:rsid w:val="42E50842"/>
    <w:rsid w:val="443525A1"/>
    <w:rsid w:val="444E6EC3"/>
    <w:rsid w:val="449D72FA"/>
    <w:rsid w:val="4517259F"/>
    <w:rsid w:val="45ED5F0C"/>
    <w:rsid w:val="47B90762"/>
    <w:rsid w:val="47C10D61"/>
    <w:rsid w:val="48CF2DC4"/>
    <w:rsid w:val="493A4AAE"/>
    <w:rsid w:val="49C42657"/>
    <w:rsid w:val="4A897428"/>
    <w:rsid w:val="4A8C60A9"/>
    <w:rsid w:val="4AB4380A"/>
    <w:rsid w:val="4C8A6922"/>
    <w:rsid w:val="4C8F3727"/>
    <w:rsid w:val="4CCE5C39"/>
    <w:rsid w:val="4D7953B0"/>
    <w:rsid w:val="4EC310A1"/>
    <w:rsid w:val="4ECE5AD5"/>
    <w:rsid w:val="4F1A61D4"/>
    <w:rsid w:val="4FDD43E5"/>
    <w:rsid w:val="503D5565"/>
    <w:rsid w:val="507935EC"/>
    <w:rsid w:val="50BB7B1D"/>
    <w:rsid w:val="51625545"/>
    <w:rsid w:val="527F2977"/>
    <w:rsid w:val="528163F6"/>
    <w:rsid w:val="52E95574"/>
    <w:rsid w:val="53C85765"/>
    <w:rsid w:val="542F548A"/>
    <w:rsid w:val="56136369"/>
    <w:rsid w:val="56C20BE3"/>
    <w:rsid w:val="58B23912"/>
    <w:rsid w:val="5C016410"/>
    <w:rsid w:val="5C380E55"/>
    <w:rsid w:val="5D2B059C"/>
    <w:rsid w:val="5E226944"/>
    <w:rsid w:val="5F6366B5"/>
    <w:rsid w:val="5FB21721"/>
    <w:rsid w:val="601E4984"/>
    <w:rsid w:val="60582AAF"/>
    <w:rsid w:val="612E08C4"/>
    <w:rsid w:val="6155027F"/>
    <w:rsid w:val="615A76D5"/>
    <w:rsid w:val="61E2437C"/>
    <w:rsid w:val="6297587A"/>
    <w:rsid w:val="62990C55"/>
    <w:rsid w:val="62A01AD4"/>
    <w:rsid w:val="62F37D50"/>
    <w:rsid w:val="63ED317F"/>
    <w:rsid w:val="64526CF8"/>
    <w:rsid w:val="66187B18"/>
    <w:rsid w:val="67226DEA"/>
    <w:rsid w:val="67377602"/>
    <w:rsid w:val="67E61FB8"/>
    <w:rsid w:val="68215DBD"/>
    <w:rsid w:val="68DF6B1A"/>
    <w:rsid w:val="68F82E63"/>
    <w:rsid w:val="696D0F3A"/>
    <w:rsid w:val="69BE7517"/>
    <w:rsid w:val="69C77840"/>
    <w:rsid w:val="6A7C062B"/>
    <w:rsid w:val="6CBC6A70"/>
    <w:rsid w:val="6D255608"/>
    <w:rsid w:val="6D723A19"/>
    <w:rsid w:val="6E0E2DC7"/>
    <w:rsid w:val="6E91733B"/>
    <w:rsid w:val="6F904A19"/>
    <w:rsid w:val="6FB50894"/>
    <w:rsid w:val="6FBB727A"/>
    <w:rsid w:val="71DA7FD0"/>
    <w:rsid w:val="7315187D"/>
    <w:rsid w:val="733B7399"/>
    <w:rsid w:val="73760918"/>
    <w:rsid w:val="742329E9"/>
    <w:rsid w:val="744A58A1"/>
    <w:rsid w:val="76940C2C"/>
    <w:rsid w:val="77640DC4"/>
    <w:rsid w:val="77B00BA6"/>
    <w:rsid w:val="78701C9C"/>
    <w:rsid w:val="78707678"/>
    <w:rsid w:val="79557A7C"/>
    <w:rsid w:val="7967694A"/>
    <w:rsid w:val="7AF976D0"/>
    <w:rsid w:val="7AFF0C51"/>
    <w:rsid w:val="7B8B2DC3"/>
    <w:rsid w:val="7B9A276E"/>
    <w:rsid w:val="7BAD3407"/>
    <w:rsid w:val="7D483EC6"/>
    <w:rsid w:val="7DE16D4F"/>
    <w:rsid w:val="7DFC3333"/>
    <w:rsid w:val="7E955D07"/>
    <w:rsid w:val="7ECA69AF"/>
    <w:rsid w:val="7EDC1B88"/>
    <w:rsid w:val="7EF51CD9"/>
    <w:rsid w:val="7FD05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0"/>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7"/>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link w:val="33"/>
    <w:qFormat/>
    <w:uiPriority w:val="99"/>
    <w:pPr>
      <w:jc w:val="left"/>
    </w:pPr>
    <w:rPr>
      <w:rFonts w:ascii="Tahoma" w:hAnsi="Tahoma"/>
    </w:rPr>
  </w:style>
  <w:style w:type="paragraph" w:styleId="7">
    <w:name w:val="Body Text"/>
    <w:basedOn w:val="1"/>
    <w:next w:val="1"/>
    <w:link w:val="28"/>
    <w:qFormat/>
    <w:uiPriority w:val="99"/>
    <w:pPr>
      <w:spacing w:after="120"/>
    </w:pPr>
  </w:style>
  <w:style w:type="paragraph" w:styleId="8">
    <w:name w:val="Body Text Indent"/>
    <w:basedOn w:val="1"/>
    <w:link w:val="58"/>
    <w:semiHidden/>
    <w:unhideWhenUsed/>
    <w:qFormat/>
    <w:uiPriority w:val="99"/>
    <w:pPr>
      <w:spacing w:after="120"/>
      <w:ind w:left="420" w:leftChars="200"/>
    </w:pPr>
  </w:style>
  <w:style w:type="paragraph" w:styleId="9">
    <w:name w:val="toc 3"/>
    <w:basedOn w:val="1"/>
    <w:next w:val="1"/>
    <w:qFormat/>
    <w:uiPriority w:val="39"/>
    <w:pPr>
      <w:ind w:left="840" w:leftChars="400"/>
    </w:pPr>
  </w:style>
  <w:style w:type="paragraph" w:styleId="10">
    <w:name w:val="Plain Text"/>
    <w:basedOn w:val="1"/>
    <w:link w:val="34"/>
    <w:qFormat/>
    <w:uiPriority w:val="0"/>
    <w:rPr>
      <w:rFonts w:ascii="宋体" w:hAnsi="Courier New" w:eastAsia="楷体_GB2312"/>
      <w:snapToGrid w:val="0"/>
      <w:color w:val="000000"/>
      <w:kern w:val="0"/>
      <w:sz w:val="32"/>
      <w:szCs w:val="21"/>
    </w:rPr>
  </w:style>
  <w:style w:type="paragraph" w:styleId="11">
    <w:name w:val="Balloon Text"/>
    <w:basedOn w:val="1"/>
    <w:link w:val="52"/>
    <w:qFormat/>
    <w:uiPriority w:val="0"/>
    <w:rPr>
      <w:sz w:val="18"/>
      <w:szCs w:val="18"/>
    </w:rPr>
  </w:style>
  <w:style w:type="paragraph" w:styleId="12">
    <w:name w:val="footer"/>
    <w:basedOn w:val="1"/>
    <w:link w:val="32"/>
    <w:qFormat/>
    <w:uiPriority w:val="99"/>
    <w:pPr>
      <w:tabs>
        <w:tab w:val="center" w:pos="4153"/>
        <w:tab w:val="right" w:pos="8306"/>
      </w:tabs>
      <w:snapToGrid w:val="0"/>
      <w:jc w:val="left"/>
    </w:pPr>
    <w:rPr>
      <w:sz w:val="18"/>
      <w:szCs w:val="18"/>
    </w:rPr>
  </w:style>
  <w:style w:type="paragraph" w:styleId="13">
    <w:name w:val="header"/>
    <w:basedOn w:val="1"/>
    <w:link w:val="31"/>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Body Text Indent 3"/>
    <w:basedOn w:val="1"/>
    <w:link w:val="35"/>
    <w:qFormat/>
    <w:uiPriority w:val="0"/>
    <w:pPr>
      <w:ind w:left="359" w:leftChars="171" w:firstLine="554" w:firstLineChars="198"/>
    </w:pPr>
    <w:rPr>
      <w:sz w:val="28"/>
      <w:szCs w:val="20"/>
    </w:rPr>
  </w:style>
  <w:style w:type="paragraph" w:styleId="16">
    <w:name w:val="toc 2"/>
    <w:basedOn w:val="1"/>
    <w:next w:val="1"/>
    <w:qFormat/>
    <w:uiPriority w:val="39"/>
    <w:pPr>
      <w:ind w:left="420" w:leftChars="200"/>
    </w:pPr>
  </w:style>
  <w:style w:type="paragraph" w:styleId="17">
    <w:name w:val="Normal (Web)"/>
    <w:basedOn w:val="1"/>
    <w:qFormat/>
    <w:uiPriority w:val="0"/>
    <w:pPr>
      <w:widowControl/>
      <w:spacing w:before="100" w:beforeAutospacing="1" w:after="100" w:afterAutospacing="1"/>
      <w:jc w:val="left"/>
    </w:pPr>
    <w:rPr>
      <w:rFonts w:hint="eastAsia" w:ascii="宋体" w:hAnsi="宋体"/>
      <w:kern w:val="0"/>
      <w:sz w:val="24"/>
    </w:rPr>
  </w:style>
  <w:style w:type="paragraph" w:styleId="18">
    <w:name w:val="annotation subject"/>
    <w:basedOn w:val="6"/>
    <w:next w:val="6"/>
    <w:link w:val="53"/>
    <w:qFormat/>
    <w:uiPriority w:val="0"/>
    <w:rPr>
      <w:rFonts w:ascii="Times New Roman" w:hAnsi="Times New Roman"/>
      <w:b/>
      <w:bCs/>
    </w:rPr>
  </w:style>
  <w:style w:type="paragraph" w:styleId="19">
    <w:name w:val="Body Text First Indent 2"/>
    <w:basedOn w:val="8"/>
    <w:link w:val="59"/>
    <w:semiHidden/>
    <w:unhideWhenUsed/>
    <w:qFormat/>
    <w:uiPriority w:val="99"/>
    <w:pPr>
      <w:ind w:firstLine="420" w:firstLineChars="200"/>
    </w:pPr>
  </w:style>
  <w:style w:type="table" w:styleId="21">
    <w:name w:val="Table Grid"/>
    <w:basedOn w:val="20"/>
    <w:qFormat/>
    <w:uiPriority w:val="9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page number"/>
    <w:basedOn w:val="22"/>
    <w:qFormat/>
    <w:uiPriority w:val="0"/>
  </w:style>
  <w:style w:type="character" w:styleId="25">
    <w:name w:val="FollowedHyperlink"/>
    <w:basedOn w:val="22"/>
    <w:qFormat/>
    <w:uiPriority w:val="99"/>
    <w:rPr>
      <w:color w:val="800080"/>
      <w:u w:val="single"/>
    </w:rPr>
  </w:style>
  <w:style w:type="character" w:styleId="26">
    <w:name w:val="Hyperlink"/>
    <w:qFormat/>
    <w:uiPriority w:val="99"/>
    <w:rPr>
      <w:rFonts w:ascii="Tahoma" w:hAnsi="Tahoma"/>
      <w:color w:val="0000FF"/>
      <w:sz w:val="24"/>
      <w:u w:val="single"/>
    </w:rPr>
  </w:style>
  <w:style w:type="character" w:styleId="27">
    <w:name w:val="annotation reference"/>
    <w:basedOn w:val="22"/>
    <w:qFormat/>
    <w:uiPriority w:val="0"/>
    <w:rPr>
      <w:sz w:val="21"/>
      <w:szCs w:val="21"/>
    </w:rPr>
  </w:style>
  <w:style w:type="character" w:customStyle="1" w:styleId="28">
    <w:name w:val="正文文本 字符"/>
    <w:basedOn w:val="22"/>
    <w:link w:val="7"/>
    <w:qFormat/>
    <w:uiPriority w:val="99"/>
    <w:rPr>
      <w:rFonts w:ascii="Times New Roman" w:hAnsi="Times New Roman" w:eastAsia="宋体" w:cs="Times New Roman"/>
      <w:szCs w:val="24"/>
    </w:rPr>
  </w:style>
  <w:style w:type="character" w:customStyle="1" w:styleId="29">
    <w:name w:val="标题 1 字符"/>
    <w:basedOn w:val="22"/>
    <w:link w:val="2"/>
    <w:qFormat/>
    <w:uiPriority w:val="0"/>
    <w:rPr>
      <w:rFonts w:ascii="Times New Roman" w:hAnsi="Times New Roman" w:eastAsia="宋体" w:cs="Times New Roman"/>
      <w:b/>
      <w:bCs/>
      <w:kern w:val="44"/>
      <w:sz w:val="44"/>
      <w:szCs w:val="44"/>
    </w:rPr>
  </w:style>
  <w:style w:type="character" w:customStyle="1" w:styleId="30">
    <w:name w:val="标题 2 字符"/>
    <w:basedOn w:val="22"/>
    <w:link w:val="3"/>
    <w:qFormat/>
    <w:uiPriority w:val="0"/>
    <w:rPr>
      <w:rFonts w:ascii="Arial" w:hAnsi="Arial" w:eastAsia="黑体" w:cs="Times New Roman"/>
      <w:b/>
      <w:bCs/>
      <w:sz w:val="32"/>
      <w:szCs w:val="32"/>
    </w:rPr>
  </w:style>
  <w:style w:type="character" w:customStyle="1" w:styleId="31">
    <w:name w:val="页眉 字符"/>
    <w:basedOn w:val="22"/>
    <w:link w:val="13"/>
    <w:qFormat/>
    <w:uiPriority w:val="99"/>
    <w:rPr>
      <w:sz w:val="18"/>
      <w:szCs w:val="18"/>
    </w:rPr>
  </w:style>
  <w:style w:type="character" w:customStyle="1" w:styleId="32">
    <w:name w:val="页脚 字符"/>
    <w:basedOn w:val="22"/>
    <w:link w:val="12"/>
    <w:qFormat/>
    <w:uiPriority w:val="99"/>
    <w:rPr>
      <w:sz w:val="18"/>
      <w:szCs w:val="18"/>
    </w:rPr>
  </w:style>
  <w:style w:type="character" w:customStyle="1" w:styleId="33">
    <w:name w:val="批注文字 字符"/>
    <w:basedOn w:val="22"/>
    <w:link w:val="6"/>
    <w:qFormat/>
    <w:uiPriority w:val="99"/>
    <w:rPr>
      <w:rFonts w:ascii="Tahoma" w:hAnsi="Tahoma" w:eastAsia="宋体" w:cs="Times New Roman"/>
      <w:szCs w:val="24"/>
    </w:rPr>
  </w:style>
  <w:style w:type="character" w:customStyle="1" w:styleId="34">
    <w:name w:val="纯文本 字符"/>
    <w:basedOn w:val="22"/>
    <w:link w:val="10"/>
    <w:qFormat/>
    <w:uiPriority w:val="0"/>
    <w:rPr>
      <w:rFonts w:ascii="宋体" w:hAnsi="Courier New" w:eastAsia="楷体_GB2312" w:cs="Times New Roman"/>
      <w:snapToGrid w:val="0"/>
      <w:color w:val="000000"/>
      <w:kern w:val="0"/>
      <w:sz w:val="32"/>
      <w:szCs w:val="21"/>
    </w:rPr>
  </w:style>
  <w:style w:type="character" w:customStyle="1" w:styleId="35">
    <w:name w:val="正文文本缩进 3 字符"/>
    <w:basedOn w:val="22"/>
    <w:link w:val="15"/>
    <w:qFormat/>
    <w:uiPriority w:val="0"/>
    <w:rPr>
      <w:rFonts w:ascii="Times New Roman" w:hAnsi="Times New Roman" w:eastAsia="宋体" w:cs="Times New Roman"/>
      <w:sz w:val="28"/>
      <w:szCs w:val="20"/>
    </w:rPr>
  </w:style>
  <w:style w:type="paragraph" w:customStyle="1" w:styleId="36">
    <w:name w:val="正文文本 (2)1"/>
    <w:basedOn w:val="1"/>
    <w:link w:val="37"/>
    <w:qFormat/>
    <w:uiPriority w:val="99"/>
    <w:pPr>
      <w:shd w:val="clear" w:color="auto" w:fill="FFFFFF"/>
      <w:spacing w:before="300" w:after="300" w:line="240" w:lineRule="atLeast"/>
      <w:jc w:val="distribute"/>
    </w:pPr>
    <w:rPr>
      <w:rFonts w:ascii="MingLiU" w:eastAsia="MingLiU"/>
      <w:spacing w:val="20"/>
      <w:sz w:val="20"/>
    </w:rPr>
  </w:style>
  <w:style w:type="character" w:customStyle="1" w:styleId="37">
    <w:name w:val="正文文本 (2)_"/>
    <w:link w:val="36"/>
    <w:qFormat/>
    <w:uiPriority w:val="99"/>
    <w:rPr>
      <w:rFonts w:ascii="MingLiU" w:hAnsi="Times New Roman" w:eastAsia="MingLiU" w:cs="Times New Roman"/>
      <w:spacing w:val="20"/>
      <w:sz w:val="20"/>
      <w:szCs w:val="24"/>
      <w:shd w:val="clear" w:color="auto" w:fill="FFFFFF"/>
    </w:rPr>
  </w:style>
  <w:style w:type="paragraph" w:styleId="38">
    <w:name w:val="List Paragraph"/>
    <w:basedOn w:val="1"/>
    <w:qFormat/>
    <w:uiPriority w:val="34"/>
    <w:pPr>
      <w:ind w:firstLine="420" w:firstLineChars="200"/>
    </w:pPr>
    <w:rPr>
      <w:sz w:val="28"/>
    </w:rPr>
  </w:style>
  <w:style w:type="paragraph" w:customStyle="1" w:styleId="39">
    <w:name w:val="_Style 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
    <w:name w:val="xl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43">
    <w:name w:val="xl66"/>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4">
    <w:name w:val="xl67"/>
    <w:basedOn w:val="1"/>
    <w:qFormat/>
    <w:uiPriority w:val="0"/>
    <w:pPr>
      <w:widowControl/>
      <w:spacing w:before="100" w:beforeAutospacing="1" w:after="100" w:afterAutospacing="1"/>
    </w:pPr>
    <w:rPr>
      <w:rFonts w:ascii="宋体" w:hAnsi="宋体" w:cs="宋体"/>
      <w:kern w:val="0"/>
      <w:szCs w:val="21"/>
    </w:rPr>
  </w:style>
  <w:style w:type="paragraph" w:customStyle="1" w:styleId="4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4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
    <w:name w:val="xl70"/>
    <w:basedOn w:val="1"/>
    <w:qFormat/>
    <w:uiPriority w:val="0"/>
    <w:pPr>
      <w:widowControl/>
      <w:spacing w:before="100" w:beforeAutospacing="1" w:after="100" w:afterAutospacing="1"/>
      <w:jc w:val="left"/>
    </w:pPr>
    <w:rPr>
      <w:rFonts w:ascii="宋体" w:hAnsi="宋体" w:cs="宋体"/>
      <w:kern w:val="0"/>
      <w:sz w:val="24"/>
    </w:rPr>
  </w:style>
  <w:style w:type="paragraph" w:customStyle="1" w:styleId="4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Cs w:val="21"/>
    </w:rPr>
  </w:style>
  <w:style w:type="paragraph" w:customStyle="1" w:styleId="4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0">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51">
    <w:name w:val="fontstyle01"/>
    <w:basedOn w:val="22"/>
    <w:qFormat/>
    <w:uiPriority w:val="0"/>
    <w:rPr>
      <w:rFonts w:hint="eastAsia" w:ascii="宋体" w:hAnsi="宋体" w:eastAsia="宋体"/>
      <w:color w:val="000000"/>
      <w:sz w:val="24"/>
      <w:szCs w:val="24"/>
    </w:rPr>
  </w:style>
  <w:style w:type="character" w:customStyle="1" w:styleId="52">
    <w:name w:val="批注框文本 字符"/>
    <w:basedOn w:val="22"/>
    <w:link w:val="11"/>
    <w:qFormat/>
    <w:uiPriority w:val="0"/>
    <w:rPr>
      <w:rFonts w:ascii="Times New Roman" w:hAnsi="Times New Roman" w:eastAsia="宋体" w:cs="Times New Roman"/>
      <w:sz w:val="18"/>
      <w:szCs w:val="18"/>
    </w:rPr>
  </w:style>
  <w:style w:type="character" w:customStyle="1" w:styleId="53">
    <w:name w:val="批注主题 字符"/>
    <w:basedOn w:val="33"/>
    <w:link w:val="18"/>
    <w:qFormat/>
    <w:uiPriority w:val="0"/>
    <w:rPr>
      <w:rFonts w:ascii="Times New Roman" w:hAnsi="Times New Roman" w:eastAsia="宋体" w:cs="Times New Roman"/>
      <w:b/>
      <w:bCs/>
      <w:szCs w:val="24"/>
    </w:rPr>
  </w:style>
  <w:style w:type="paragraph" w:customStyle="1" w:styleId="54">
    <w:name w:val="修订1"/>
    <w:qFormat/>
    <w:uiPriority w:val="99"/>
    <w:rPr>
      <w:rFonts w:ascii="Times New Roman" w:hAnsi="Times New Roman" w:eastAsia="宋体" w:cs="Times New Roman"/>
      <w:kern w:val="2"/>
      <w:sz w:val="21"/>
      <w:szCs w:val="24"/>
      <w:lang w:val="en-US" w:eastAsia="zh-CN" w:bidi="ar-SA"/>
    </w:rPr>
  </w:style>
  <w:style w:type="paragraph" w:customStyle="1" w:styleId="55">
    <w:name w:val="16"/>
    <w:basedOn w:val="1"/>
    <w:qFormat/>
    <w:uiPriority w:val="0"/>
    <w:pPr>
      <w:widowControl/>
      <w:spacing w:before="100" w:beforeAutospacing="1" w:after="100" w:afterAutospacing="1"/>
      <w:jc w:val="left"/>
    </w:pPr>
    <w:rPr>
      <w:rFonts w:ascii="宋体" w:hAnsi="宋体" w:cs="宋体"/>
      <w:kern w:val="0"/>
      <w:sz w:val="24"/>
    </w:rPr>
  </w:style>
  <w:style w:type="paragraph" w:customStyle="1" w:styleId="56">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57">
    <w:name w:val="标题 3 字符"/>
    <w:basedOn w:val="22"/>
    <w:link w:val="4"/>
    <w:semiHidden/>
    <w:qFormat/>
    <w:uiPriority w:val="9"/>
    <w:rPr>
      <w:rFonts w:ascii="Times New Roman" w:hAnsi="Times New Roman" w:eastAsia="宋体" w:cs="Times New Roman"/>
      <w:b/>
      <w:bCs/>
      <w:kern w:val="2"/>
      <w:sz w:val="32"/>
      <w:szCs w:val="32"/>
    </w:rPr>
  </w:style>
  <w:style w:type="character" w:customStyle="1" w:styleId="58">
    <w:name w:val="正文文本缩进 字符"/>
    <w:basedOn w:val="22"/>
    <w:link w:val="8"/>
    <w:semiHidden/>
    <w:qFormat/>
    <w:uiPriority w:val="99"/>
    <w:rPr>
      <w:rFonts w:ascii="Times New Roman" w:hAnsi="Times New Roman" w:eastAsia="宋体" w:cs="Times New Roman"/>
      <w:kern w:val="2"/>
      <w:sz w:val="21"/>
      <w:szCs w:val="24"/>
    </w:rPr>
  </w:style>
  <w:style w:type="character" w:customStyle="1" w:styleId="59">
    <w:name w:val="正文首行缩进 2 字符"/>
    <w:basedOn w:val="58"/>
    <w:link w:val="19"/>
    <w:semiHidden/>
    <w:qFormat/>
    <w:uiPriority w:val="99"/>
    <w:rPr>
      <w:rFonts w:ascii="Times New Roman" w:hAnsi="Times New Roman" w:eastAsia="宋体" w:cs="Times New Roman"/>
      <w:kern w:val="2"/>
      <w:sz w:val="21"/>
      <w:szCs w:val="24"/>
    </w:rPr>
  </w:style>
  <w:style w:type="paragraph" w:customStyle="1" w:styleId="60">
    <w:name w:val="列表段落1"/>
    <w:basedOn w:val="1"/>
    <w:qFormat/>
    <w:uiPriority w:val="0"/>
    <w:pPr>
      <w:ind w:firstLine="420" w:firstLineChars="200"/>
    </w:pPr>
    <w:rPr>
      <w:rFonts w:ascii="Times New Roman" w:hAnsi="Times New Roman" w:eastAsia="宋体" w:cs="Times New Roman"/>
    </w:rPr>
  </w:style>
  <w:style w:type="table" w:customStyle="1" w:styleId="61">
    <w:name w:val="普通表格1"/>
    <w:qFormat/>
    <w:uiPriority w:val="0"/>
    <w:tblPr>
      <w:tblCellMar>
        <w:top w:w="0" w:type="dxa"/>
        <w:left w:w="108" w:type="dxa"/>
        <w:bottom w:w="0" w:type="dxa"/>
        <w:right w:w="108" w:type="dxa"/>
      </w:tblCellMar>
    </w:tblPr>
  </w:style>
  <w:style w:type="character" w:customStyle="1" w:styleId="62">
    <w:name w:val="NormalCharacter"/>
    <w:semiHidden/>
    <w:qFormat/>
    <w:uiPriority w:val="0"/>
    <w:rPr>
      <w:sz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B443E-42E7-435C-AABB-B82279EA64E9}">
  <ds:schemaRefs/>
</ds:datastoreItem>
</file>

<file path=docProps/app.xml><?xml version="1.0" encoding="utf-8"?>
<Properties xmlns="http://schemas.openxmlformats.org/officeDocument/2006/extended-properties" xmlns:vt="http://schemas.openxmlformats.org/officeDocument/2006/docPropsVTypes">
  <Template>Normal</Template>
  <Pages>58</Pages>
  <Words>21703</Words>
  <Characters>22680</Characters>
  <Lines>223</Lines>
  <Paragraphs>62</Paragraphs>
  <TotalTime>8</TotalTime>
  <ScaleCrop>false</ScaleCrop>
  <LinksUpToDate>false</LinksUpToDate>
  <CharactersWithSpaces>23205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2021-04-12T07:48:00Z</dcterms:created>
  <dc:creator>NTKO</dc:creator>
  <cp:lastModifiedBy>李妍钦</cp:lastModifiedBy>
  <cp:lastPrinted>2020-06-09T07:08:00Z</cp:lastPrinted>
  <dcterms:modified xsi:type="dcterms:W3CDTF">2026-09-29T09:02:58Z</dcterms:modified>
  <cp:revision>206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ED543EEACE3E4D57A38E3998721087C4_13</vt:lpwstr>
  </property>
  <property fmtid="{D5CDD505-2E9C-101B-9397-08002B2CF9AE}" pid="3" name="KSOProductBuildVer">
    <vt:lpwstr>2052-12.1.0.28043</vt:lpwstr>
  </property>
  <property fmtid="{D5CDD505-2E9C-101B-9397-08002B2CF9AE}" pid="4" name="KSOTemplateDocerSaveRecord">
    <vt:lpwstr>eyJoZGlkIjoiODU1MzRmNTlhN2NiMTdmZTNjZmRkNjc4ZTk2Mjg0OTkiLCJ1c2VySWQiOiIxNjczMzYyNTQ3In0=</vt:lpwstr>
  </property>
</Properties>
</file>